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rPr>
          <w:rFonts w:hint="eastAsia" w:ascii="仿宋" w:hAnsi="仿宋" w:eastAsia="仿宋"/>
          <w:color w:val="000000" w:themeColor="text1"/>
          <w:sz w:val="52"/>
          <w:szCs w:val="52"/>
          <w14:textFill>
            <w14:solidFill>
              <w14:schemeClr w14:val="tx1"/>
            </w14:solidFill>
          </w14:textFill>
        </w:rPr>
      </w:pPr>
    </w:p>
    <w:p>
      <w:pPr>
        <w:spacing w:line="360" w:lineRule="auto"/>
        <w:jc w:val="center"/>
        <w:rPr>
          <w:rFonts w:ascii="黑体" w:hAnsi="黑体" w:eastAsia="黑体" w:cs="黑体"/>
          <w:b/>
          <w:bCs/>
          <w:sz w:val="32"/>
          <w:szCs w:val="32"/>
        </w:rPr>
      </w:pPr>
      <w:r>
        <w:rPr>
          <w:rFonts w:hint="eastAsia" w:ascii="黑体" w:hAnsi="黑体" w:eastAsia="黑体" w:cs="黑体"/>
          <w:b/>
          <w:bCs/>
          <w:sz w:val="32"/>
          <w:szCs w:val="32"/>
        </w:rPr>
        <w:t>福建片仔癀化妆品有限公司</w:t>
      </w:r>
    </w:p>
    <w:p>
      <w:pPr>
        <w:spacing w:line="360" w:lineRule="auto"/>
        <w:jc w:val="center"/>
        <w:rPr>
          <w:rFonts w:ascii="黑体" w:hAnsi="黑体" w:eastAsia="黑体" w:cs="黑体"/>
          <w:b/>
          <w:bCs/>
          <w:sz w:val="32"/>
          <w:szCs w:val="32"/>
        </w:rPr>
      </w:pPr>
      <w:r>
        <w:rPr>
          <w:rFonts w:hint="eastAsia" w:ascii="黑体" w:hAnsi="黑体" w:eastAsia="黑体" w:cs="黑体"/>
          <w:b/>
          <w:bCs/>
          <w:sz w:val="32"/>
          <w:szCs w:val="32"/>
        </w:rPr>
        <w:t>混合所有制改革、股份制改造项目</w:t>
      </w:r>
    </w:p>
    <w:p>
      <w:pPr>
        <w:spacing w:line="360" w:lineRule="auto"/>
        <w:jc w:val="center"/>
        <w:rPr>
          <w:rFonts w:ascii="黑体" w:hAnsi="黑体" w:eastAsia="黑体" w:cs="黑体"/>
          <w:b/>
          <w:bCs/>
          <w:sz w:val="32"/>
          <w:szCs w:val="32"/>
        </w:rPr>
      </w:pPr>
      <w:r>
        <w:rPr>
          <w:rFonts w:hint="eastAsia" w:ascii="黑体" w:hAnsi="黑体" w:eastAsia="黑体" w:cs="黑体"/>
          <w:b/>
          <w:bCs/>
          <w:sz w:val="32"/>
          <w:szCs w:val="32"/>
        </w:rPr>
        <w:t>评估机构</w:t>
      </w:r>
    </w:p>
    <w:p>
      <w:pPr>
        <w:snapToGrid w:val="0"/>
        <w:spacing w:line="360" w:lineRule="auto"/>
        <w:jc w:val="center"/>
        <w:rPr>
          <w:rFonts w:ascii="黑体" w:hAnsi="宋体" w:eastAsia="黑体"/>
          <w:b/>
          <w:sz w:val="36"/>
          <w:szCs w:val="36"/>
        </w:rPr>
      </w:pPr>
    </w:p>
    <w:p>
      <w:pPr>
        <w:snapToGrid w:val="0"/>
        <w:spacing w:line="360" w:lineRule="auto"/>
        <w:jc w:val="center"/>
        <w:rPr>
          <w:rFonts w:ascii="黑体" w:hAnsi="宋体" w:eastAsia="黑体"/>
          <w:b/>
          <w:sz w:val="36"/>
          <w:szCs w:val="36"/>
        </w:rPr>
      </w:pPr>
    </w:p>
    <w:p>
      <w:pPr>
        <w:spacing w:line="360" w:lineRule="auto"/>
        <w:jc w:val="center"/>
        <w:rPr>
          <w:rFonts w:ascii="黑体" w:hAnsi="黑体" w:eastAsia="黑体" w:cs="黑体"/>
          <w:b/>
          <w:bCs/>
          <w:sz w:val="84"/>
          <w:szCs w:val="84"/>
        </w:rPr>
      </w:pPr>
      <w:r>
        <w:rPr>
          <w:rFonts w:hint="eastAsia" w:ascii="黑体" w:hAnsi="黑体" w:eastAsia="黑体" w:cs="黑体"/>
          <w:b/>
          <w:bCs/>
          <w:sz w:val="84"/>
          <w:szCs w:val="84"/>
        </w:rPr>
        <w:t>比</w:t>
      </w:r>
    </w:p>
    <w:p>
      <w:pPr>
        <w:spacing w:line="360" w:lineRule="auto"/>
        <w:jc w:val="center"/>
        <w:rPr>
          <w:rFonts w:ascii="黑体" w:hAnsi="黑体" w:eastAsia="黑体" w:cs="黑体"/>
          <w:b/>
          <w:bCs/>
          <w:sz w:val="84"/>
          <w:szCs w:val="84"/>
        </w:rPr>
      </w:pPr>
      <w:r>
        <w:rPr>
          <w:rFonts w:hint="eastAsia" w:ascii="黑体" w:hAnsi="黑体" w:eastAsia="黑体" w:cs="黑体"/>
          <w:b/>
          <w:bCs/>
          <w:sz w:val="84"/>
          <w:szCs w:val="84"/>
        </w:rPr>
        <w:t>选</w:t>
      </w:r>
    </w:p>
    <w:p>
      <w:pPr>
        <w:spacing w:line="360" w:lineRule="auto"/>
        <w:jc w:val="center"/>
        <w:rPr>
          <w:rFonts w:ascii="黑体" w:hAnsi="黑体" w:eastAsia="黑体" w:cs="黑体"/>
          <w:b/>
          <w:bCs/>
          <w:sz w:val="84"/>
          <w:szCs w:val="84"/>
        </w:rPr>
      </w:pPr>
      <w:r>
        <w:rPr>
          <w:rFonts w:hint="eastAsia" w:ascii="黑体" w:hAnsi="黑体" w:eastAsia="黑体" w:cs="黑体"/>
          <w:b/>
          <w:bCs/>
          <w:sz w:val="84"/>
          <w:szCs w:val="84"/>
        </w:rPr>
        <w:t>文</w:t>
      </w:r>
    </w:p>
    <w:p>
      <w:pPr>
        <w:spacing w:line="360" w:lineRule="auto"/>
        <w:jc w:val="center"/>
        <w:rPr>
          <w:rFonts w:ascii="黑体" w:hAnsi="黑体" w:eastAsia="黑体" w:cs="黑体"/>
          <w:b/>
          <w:bCs/>
          <w:sz w:val="84"/>
          <w:szCs w:val="84"/>
        </w:rPr>
      </w:pPr>
      <w:r>
        <w:rPr>
          <w:rFonts w:hint="eastAsia" w:ascii="黑体" w:hAnsi="黑体" w:eastAsia="黑体" w:cs="黑体"/>
          <w:b/>
          <w:bCs/>
          <w:sz w:val="84"/>
          <w:szCs w:val="84"/>
        </w:rPr>
        <w:t>件</w:t>
      </w:r>
    </w:p>
    <w:p>
      <w:pPr>
        <w:spacing w:line="360" w:lineRule="auto"/>
        <w:jc w:val="center"/>
        <w:rPr>
          <w:rFonts w:ascii="黑体" w:hAnsi="黑体" w:eastAsia="黑体" w:cs="黑体"/>
          <w:b/>
          <w:bCs/>
          <w:sz w:val="28"/>
          <w:szCs w:val="28"/>
        </w:rPr>
      </w:pPr>
    </w:p>
    <w:p>
      <w:pPr>
        <w:spacing w:line="360" w:lineRule="auto"/>
        <w:jc w:val="center"/>
        <w:rPr>
          <w:rFonts w:ascii="黑体" w:hAnsi="黑体" w:eastAsia="黑体" w:cs="黑体"/>
          <w:b/>
          <w:bCs/>
          <w:sz w:val="28"/>
          <w:szCs w:val="28"/>
        </w:rPr>
      </w:pPr>
    </w:p>
    <w:p>
      <w:pPr>
        <w:spacing w:line="360" w:lineRule="auto"/>
        <w:jc w:val="center"/>
        <w:rPr>
          <w:rFonts w:ascii="黑体" w:hAnsi="黑体" w:eastAsia="黑体" w:cs="黑体"/>
          <w:b/>
          <w:bCs/>
          <w:sz w:val="28"/>
          <w:szCs w:val="28"/>
        </w:rPr>
      </w:pPr>
    </w:p>
    <w:p>
      <w:pPr>
        <w:spacing w:line="360" w:lineRule="auto"/>
        <w:jc w:val="center"/>
        <w:rPr>
          <w:rFonts w:ascii="黑体" w:hAnsi="黑体" w:eastAsia="黑体" w:cs="黑体"/>
          <w:b/>
          <w:bCs/>
          <w:sz w:val="32"/>
          <w:szCs w:val="32"/>
        </w:rPr>
      </w:pPr>
      <w:r>
        <w:rPr>
          <w:rFonts w:hint="eastAsia" w:ascii="黑体" w:hAnsi="黑体" w:eastAsia="黑体" w:cs="黑体"/>
          <w:b/>
          <w:bCs/>
          <w:sz w:val="32"/>
          <w:szCs w:val="32"/>
        </w:rPr>
        <w:t>比选人：福建片仔癀化妆品有限公司</w:t>
      </w:r>
    </w:p>
    <w:p>
      <w:pPr>
        <w:spacing w:line="360" w:lineRule="auto"/>
        <w:jc w:val="center"/>
        <w:rPr>
          <w:rFonts w:ascii="黑体" w:hAnsi="黑体" w:eastAsia="黑体" w:cs="黑体"/>
          <w:b/>
          <w:bCs/>
          <w:sz w:val="32"/>
          <w:szCs w:val="32"/>
        </w:rPr>
      </w:pPr>
      <w:r>
        <w:rPr>
          <w:rFonts w:hint="eastAsia" w:ascii="黑体" w:hAnsi="黑体" w:eastAsia="黑体" w:cs="黑体"/>
          <w:b/>
          <w:bCs/>
          <w:sz w:val="32"/>
          <w:szCs w:val="32"/>
        </w:rPr>
        <w:t>编制时间：2021年10月</w:t>
      </w:r>
    </w:p>
    <w:p>
      <w:pPr>
        <w:snapToGrid w:val="0"/>
        <w:spacing w:line="360" w:lineRule="auto"/>
        <w:jc w:val="center"/>
        <w:rPr>
          <w:rFonts w:ascii="仿宋" w:hAnsi="仿宋" w:eastAsia="仿宋"/>
          <w:color w:val="000000" w:themeColor="text1"/>
          <w:sz w:val="52"/>
          <w:szCs w:val="52"/>
          <w14:textFill>
            <w14:solidFill>
              <w14:schemeClr w14:val="tx1"/>
            </w14:solidFill>
          </w14:textFill>
        </w:rPr>
      </w:pPr>
    </w:p>
    <w:p>
      <w:pPr>
        <w:spacing w:line="360" w:lineRule="auto"/>
        <w:rPr>
          <w:rFonts w:ascii="仿宋" w:hAnsi="仿宋" w:eastAsia="仿宋"/>
          <w:color w:val="000000" w:themeColor="text1"/>
          <w:sz w:val="24"/>
          <w14:textFill>
            <w14:solidFill>
              <w14:schemeClr w14:val="tx1"/>
            </w14:solidFill>
          </w14:textFill>
        </w:rPr>
      </w:pPr>
    </w:p>
    <w:p>
      <w:pPr>
        <w:spacing w:line="540" w:lineRule="exact"/>
        <w:jc w:val="center"/>
        <w:rPr>
          <w:rFonts w:ascii="黑体" w:hAnsi="黑体" w:eastAsia="黑体" w:cs="黑体"/>
          <w:b/>
          <w:bCs/>
          <w:sz w:val="30"/>
          <w:szCs w:val="30"/>
        </w:rPr>
      </w:pPr>
      <w:r>
        <w:rPr>
          <w:rFonts w:hint="eastAsia" w:ascii="黑体" w:hAnsi="黑体" w:eastAsia="黑体" w:cs="黑体"/>
          <w:b/>
          <w:bCs/>
          <w:sz w:val="30"/>
          <w:szCs w:val="30"/>
        </w:rPr>
        <w:t>福建片仔癀化妆品有限公司</w:t>
      </w:r>
    </w:p>
    <w:p>
      <w:pPr>
        <w:spacing w:line="540" w:lineRule="exact"/>
        <w:jc w:val="center"/>
        <w:rPr>
          <w:rFonts w:ascii="黑体" w:hAnsi="宋体" w:eastAsia="黑体"/>
          <w:b/>
          <w:sz w:val="30"/>
          <w:szCs w:val="30"/>
        </w:rPr>
      </w:pPr>
      <w:r>
        <w:rPr>
          <w:rFonts w:hint="eastAsia" w:ascii="黑体" w:hAnsi="宋体" w:eastAsia="黑体"/>
          <w:b/>
          <w:sz w:val="30"/>
          <w:szCs w:val="30"/>
        </w:rPr>
        <w:t>混合所有制改革、股份制改造项目</w:t>
      </w:r>
    </w:p>
    <w:p>
      <w:pPr>
        <w:spacing w:line="540" w:lineRule="exact"/>
        <w:jc w:val="center"/>
        <w:rPr>
          <w:rFonts w:ascii="黑体" w:hAnsi="黑体" w:eastAsia="黑体" w:cs="黑体"/>
          <w:b/>
          <w:bCs/>
          <w:sz w:val="30"/>
          <w:szCs w:val="30"/>
        </w:rPr>
      </w:pPr>
      <w:r>
        <w:rPr>
          <w:rFonts w:hint="eastAsia" w:ascii="黑体" w:hAnsi="黑体" w:eastAsia="黑体" w:cs="黑体"/>
          <w:b/>
          <w:bCs/>
          <w:sz w:val="30"/>
          <w:szCs w:val="30"/>
        </w:rPr>
        <w:t>评估机构公开比选公告</w:t>
      </w:r>
    </w:p>
    <w:p>
      <w:pPr>
        <w:spacing w:line="540" w:lineRule="exact"/>
        <w:jc w:val="center"/>
        <w:rPr>
          <w:rFonts w:ascii="宋体" w:hAnsi="宋体" w:cs="宋体"/>
          <w:sz w:val="24"/>
        </w:rPr>
      </w:pPr>
    </w:p>
    <w:p>
      <w:pPr>
        <w:spacing w:line="540" w:lineRule="exact"/>
        <w:ind w:firstLine="560" w:firstLineChars="200"/>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sz w:val="28"/>
          <w:szCs w:val="28"/>
        </w:rPr>
        <w:t>福建片仔癀化妆品有限公司（以下简称公司、本公司）根据发展需要，拟进行混合所有制改革、股份制改造（以下简称本项目、项目）。为此，对公司混合所有制改革、股份制改造的评估机构进行公开比选，欢迎具备资质要求的机构参与比选，具体事项如下：</w:t>
      </w:r>
    </w:p>
    <w:p>
      <w:pPr>
        <w:widowControl/>
        <w:spacing w:before="156" w:beforeLines="50" w:after="156" w:afterLines="50" w:line="540" w:lineRule="exact"/>
        <w:ind w:firstLine="562" w:firstLineChars="200"/>
        <w:jc w:val="left"/>
        <w:rPr>
          <w:rFonts w:asciiTheme="minorEastAsia" w:hAnsiTheme="minorEastAsia" w:eastAsiaTheme="minorEastAsia" w:cstheme="minorEastAsia"/>
          <w:b/>
          <w:color w:val="000000" w:themeColor="text1"/>
          <w:sz w:val="28"/>
          <w:szCs w:val="28"/>
          <w14:textFill>
            <w14:solidFill>
              <w14:schemeClr w14:val="tx1"/>
            </w14:solidFill>
          </w14:textFill>
        </w:rPr>
      </w:pPr>
      <w:r>
        <w:rPr>
          <w:rFonts w:hint="eastAsia" w:asciiTheme="minorEastAsia" w:hAnsiTheme="minorEastAsia" w:eastAsiaTheme="minorEastAsia" w:cstheme="minorEastAsia"/>
          <w:b/>
          <w:color w:val="000000" w:themeColor="text1"/>
          <w:sz w:val="28"/>
          <w:szCs w:val="28"/>
          <w14:textFill>
            <w14:solidFill>
              <w14:schemeClr w14:val="tx1"/>
            </w14:solidFill>
          </w14:textFill>
        </w:rPr>
        <w:t>1.项目概况</w:t>
      </w:r>
    </w:p>
    <w:p>
      <w:pPr>
        <w:spacing w:line="54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 公司情况</w:t>
      </w:r>
    </w:p>
    <w:p>
      <w:pPr>
        <w:spacing w:line="54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福建片仔癀化妆品有限公司成立于2002年3月，公司注册资本为1.07亿元。截至2021年6月30日，公司资产总额约为8亿元。</w:t>
      </w:r>
    </w:p>
    <w:p>
      <w:pPr>
        <w:spacing w:line="54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1.2项目背景</w:t>
      </w:r>
    </w:p>
    <w:p>
      <w:pPr>
        <w:spacing w:line="54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公司拟进行混合所有制改革，并进行股份制改造，组织形式变更为股份有限公司。</w:t>
      </w:r>
    </w:p>
    <w:p>
      <w:pPr>
        <w:spacing w:before="156" w:beforeLines="50" w:after="156" w:afterLines="50" w:line="540" w:lineRule="exact"/>
        <w:ind w:firstLine="562" w:firstLineChars="200"/>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2.评估服务内容和要求</w:t>
      </w:r>
    </w:p>
    <w:p>
      <w:pPr>
        <w:spacing w:line="54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2.1完整收集评估作价工作所需的所有资料。公司混合所有制改革、公司股份制改造项目评估基准日待定。</w:t>
      </w:r>
    </w:p>
    <w:p>
      <w:pPr>
        <w:spacing w:line="54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2.2调集评估机构精干力量，充分展开前期准备、现场勘查、市场及行业状况调查、分析估算等全面的尽职调查服务。</w:t>
      </w:r>
    </w:p>
    <w:p>
      <w:pPr>
        <w:spacing w:line="54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2.3为本次资产评估做好客观、公正、科学、合理的估值工作，按照资产评估法及相关评估准则选取适宜的评估方法进行评估。</w:t>
      </w:r>
    </w:p>
    <w:p>
      <w:pPr>
        <w:spacing w:line="54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2.4评估机构应于公司提供有关资料后10个工作日内，出具资产评估报告初稿。</w:t>
      </w:r>
    </w:p>
    <w:p>
      <w:pPr>
        <w:spacing w:line="540" w:lineRule="exact"/>
        <w:ind w:firstLine="560" w:firstLineChars="200"/>
        <w:rPr>
          <w:rFonts w:asciiTheme="minorEastAsia" w:hAnsiTheme="minorEastAsia" w:eastAsiaTheme="minorEastAsia" w:cstheme="minorEastAsia"/>
          <w:color w:val="FF0000"/>
          <w:sz w:val="28"/>
          <w:szCs w:val="28"/>
        </w:rPr>
      </w:pPr>
      <w:r>
        <w:rPr>
          <w:rFonts w:hint="eastAsia" w:asciiTheme="minorEastAsia" w:hAnsiTheme="minorEastAsia" w:eastAsiaTheme="minorEastAsia" w:cstheme="minorEastAsia"/>
          <w:sz w:val="28"/>
          <w:szCs w:val="28"/>
        </w:rPr>
        <w:t>2.5评估机构应当积极配合做好资产评估服务工作以及与其他相关机构和监管部门的沟通工作。</w:t>
      </w:r>
    </w:p>
    <w:p>
      <w:pPr>
        <w:widowControl/>
        <w:spacing w:before="156" w:beforeLines="50" w:after="156" w:afterLines="50" w:line="540" w:lineRule="exact"/>
        <w:ind w:firstLine="562" w:firstLineChars="200"/>
        <w:jc w:val="left"/>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3、资格要求</w:t>
      </w:r>
    </w:p>
    <w:p>
      <w:pPr>
        <w:spacing w:line="540" w:lineRule="exact"/>
        <w:ind w:firstLine="560" w:firstLineChars="200"/>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3.1评估机构为注册地</w:t>
      </w:r>
      <w:r>
        <w:rPr>
          <w:rFonts w:hint="eastAsia" w:asciiTheme="minorEastAsia" w:hAnsiTheme="minorEastAsia" w:eastAsiaTheme="minorEastAsia" w:cstheme="minorEastAsia"/>
          <w:sz w:val="28"/>
          <w:szCs w:val="28"/>
        </w:rPr>
        <w:t>在福建省内的独立法人单位，</w:t>
      </w:r>
      <w:r>
        <w:rPr>
          <w:rFonts w:hint="eastAsia" w:asciiTheme="minorEastAsia" w:hAnsiTheme="minorEastAsia" w:eastAsiaTheme="minorEastAsia" w:cstheme="minorEastAsia"/>
          <w:color w:val="000000" w:themeColor="text1"/>
          <w:sz w:val="28"/>
          <w:szCs w:val="28"/>
          <w14:textFill>
            <w14:solidFill>
              <w14:schemeClr w14:val="tx1"/>
            </w14:solidFill>
          </w14:textFill>
        </w:rPr>
        <w:t>且营业执照有效；</w:t>
      </w:r>
    </w:p>
    <w:p>
      <w:pPr>
        <w:spacing w:line="540" w:lineRule="exact"/>
        <w:ind w:firstLine="560" w:firstLineChars="200"/>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3.2具备资产评估行业执业资格（包括不限于资产评估资质、证券业务资质、房地产估价资质、土地估价资质）；</w:t>
      </w:r>
    </w:p>
    <w:p>
      <w:pPr>
        <w:spacing w:line="540" w:lineRule="exact"/>
        <w:ind w:firstLine="560" w:firstLineChars="200"/>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3.3在人员、资质等方面具有承担本项目的能力；</w:t>
      </w:r>
    </w:p>
    <w:p>
      <w:pPr>
        <w:spacing w:line="540" w:lineRule="exact"/>
        <w:ind w:firstLine="560" w:firstLineChars="200"/>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3.4信誉要求：在中国无任何行政机构或行业协会处罚和不良经营记录。 </w:t>
      </w:r>
    </w:p>
    <w:p>
      <w:pPr>
        <w:widowControl/>
        <w:spacing w:before="156" w:beforeLines="50" w:after="156" w:afterLines="50" w:line="540" w:lineRule="exact"/>
        <w:ind w:firstLine="562" w:firstLineChars="200"/>
        <w:jc w:val="left"/>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4、报价要求</w:t>
      </w:r>
    </w:p>
    <w:p>
      <w:pPr>
        <w:snapToGrid w:val="0"/>
        <w:spacing w:line="540" w:lineRule="exact"/>
        <w:ind w:firstLine="560" w:firstLineChars="200"/>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4.1报价为混合所有制改革、股份制改造两个评估项目总价。</w:t>
      </w:r>
    </w:p>
    <w:p>
      <w:pPr>
        <w:snapToGrid w:val="0"/>
        <w:spacing w:line="540" w:lineRule="exact"/>
        <w:ind w:firstLine="560" w:firstLineChars="200"/>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4.2评估服务费用报价需为含税价，包含资产评估专业人员在评估工作期间必需的食宿、交通</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14:textFill>
            <w14:solidFill>
              <w14:schemeClr w14:val="tx1"/>
            </w14:solidFill>
          </w14:textFill>
        </w:rPr>
        <w:t>资料等一切费用支出。</w:t>
      </w:r>
    </w:p>
    <w:p>
      <w:pPr>
        <w:widowControl/>
        <w:spacing w:before="156" w:beforeLines="50" w:after="156" w:afterLines="50" w:line="540" w:lineRule="exact"/>
        <w:ind w:firstLine="562" w:firstLineChars="200"/>
        <w:jc w:val="left"/>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5.</w:t>
      </w:r>
      <w:r>
        <w:rPr>
          <w:rFonts w:hint="eastAsia" w:asciiTheme="minorEastAsia" w:hAnsiTheme="minorEastAsia" w:eastAsiaTheme="minorEastAsia" w:cstheme="minorEastAsia"/>
          <w:b/>
          <w:bCs/>
          <w:sz w:val="28"/>
          <w:szCs w:val="28"/>
        </w:rPr>
        <w:t>参与比选需提交的材料</w:t>
      </w:r>
    </w:p>
    <w:p>
      <w:pPr>
        <w:pStyle w:val="6"/>
        <w:spacing w:after="0" w:line="54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5.1评估机构的执业资格证明；</w:t>
      </w:r>
    </w:p>
    <w:p>
      <w:pPr>
        <w:pStyle w:val="6"/>
        <w:spacing w:after="0" w:line="54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5.2评估机构基本情况介绍；</w:t>
      </w:r>
    </w:p>
    <w:p>
      <w:pPr>
        <w:pStyle w:val="6"/>
        <w:spacing w:after="0" w:line="54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5.3评估机构为本项目提供服务的团队成员的情况介绍；</w:t>
      </w:r>
    </w:p>
    <w:p>
      <w:pPr>
        <w:pStyle w:val="6"/>
        <w:spacing w:after="0" w:line="54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5.4过往业绩清单及有关证明材料；</w:t>
      </w:r>
    </w:p>
    <w:p>
      <w:pPr>
        <w:pStyle w:val="6"/>
        <w:spacing w:after="0" w:line="54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5.5</w:t>
      </w:r>
      <w:r>
        <w:rPr>
          <w:rFonts w:hint="eastAsia" w:asciiTheme="minorEastAsia" w:hAnsiTheme="minorEastAsia" w:eastAsiaTheme="minorEastAsia" w:cstheme="minorEastAsia"/>
          <w:kern w:val="0"/>
          <w:sz w:val="28"/>
          <w:szCs w:val="28"/>
        </w:rPr>
        <w:t>项目工作方案；</w:t>
      </w:r>
    </w:p>
    <w:p>
      <w:pPr>
        <w:pStyle w:val="6"/>
        <w:spacing w:after="0" w:line="54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5.5资产评估费用报价单；</w:t>
      </w:r>
    </w:p>
    <w:p>
      <w:pPr>
        <w:pStyle w:val="6"/>
        <w:spacing w:after="0" w:line="540" w:lineRule="exact"/>
        <w:ind w:firstLine="560" w:firstLineChars="200"/>
        <w:rPr>
          <w:rFonts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5.7参与比选承诺书；</w:t>
      </w:r>
    </w:p>
    <w:p>
      <w:pPr>
        <w:pStyle w:val="6"/>
        <w:spacing w:after="0" w:line="540" w:lineRule="exact"/>
        <w:ind w:firstLine="560" w:firstLineChars="200"/>
        <w:rPr>
          <w:rFonts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5.8授权委托书；</w:t>
      </w:r>
    </w:p>
    <w:p>
      <w:pPr>
        <w:pStyle w:val="6"/>
        <w:spacing w:after="0" w:line="54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5.9评估机构认为对本项目有所帮助的其他相关材料。</w:t>
      </w:r>
    </w:p>
    <w:p>
      <w:pPr>
        <w:pStyle w:val="6"/>
        <w:spacing w:after="0" w:line="54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若参选机构的参选资料提供不全，公司有权按作废处理。</w:t>
      </w:r>
    </w:p>
    <w:p>
      <w:pPr>
        <w:spacing w:before="156" w:beforeLines="50" w:after="156" w:afterLines="50" w:line="540" w:lineRule="exact"/>
        <w:ind w:firstLine="562" w:firstLineChars="200"/>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6.比选材料装订要求</w:t>
      </w:r>
    </w:p>
    <w:p>
      <w:pPr>
        <w:spacing w:line="54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所有材料一式三份按前款所列顺序装订成册并加盖公章装袋密封，密封处加盖公章。</w:t>
      </w:r>
    </w:p>
    <w:p>
      <w:pPr>
        <w:spacing w:line="54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如参与比选的评估机构有欺瞒行为或提供虚假材料，将直接取消其参与比选的资格。如本公司系在比选确定评估机构后发现上述情形，已确定中选的评估机构本公司有权单方面取消其中选资格。</w:t>
      </w:r>
    </w:p>
    <w:p>
      <w:pPr>
        <w:spacing w:before="156" w:beforeLines="50" w:after="156" w:afterLines="50" w:line="540" w:lineRule="exact"/>
        <w:ind w:firstLine="562" w:firstLineChars="200"/>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7.材料递交时间</w:t>
      </w:r>
    </w:p>
    <w:p>
      <w:pPr>
        <w:spacing w:line="540" w:lineRule="exact"/>
        <w:ind w:firstLine="560" w:firstLineChars="20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所有材料原件应于2021年10月</w:t>
      </w:r>
      <w:r>
        <w:rPr>
          <w:rFonts w:hint="eastAsia" w:asciiTheme="minorEastAsia" w:hAnsiTheme="minorEastAsia" w:eastAsiaTheme="minorEastAsia" w:cstheme="minorEastAsia"/>
          <w:bCs/>
          <w:sz w:val="28"/>
          <w:szCs w:val="28"/>
          <w:lang w:val="en-US" w:eastAsia="zh-CN"/>
        </w:rPr>
        <w:t>25</w:t>
      </w:r>
      <w:r>
        <w:rPr>
          <w:rFonts w:hint="eastAsia" w:asciiTheme="minorEastAsia" w:hAnsiTheme="minorEastAsia" w:eastAsiaTheme="minorEastAsia" w:cstheme="minorEastAsia"/>
          <w:bCs/>
          <w:sz w:val="28"/>
          <w:szCs w:val="28"/>
        </w:rPr>
        <w:t>日</w:t>
      </w:r>
      <w:r>
        <w:rPr>
          <w:rFonts w:hint="eastAsia" w:asciiTheme="minorEastAsia" w:hAnsiTheme="minorEastAsia" w:eastAsiaTheme="minorEastAsia" w:cstheme="minorEastAsia"/>
          <w:bCs/>
          <w:sz w:val="28"/>
          <w:szCs w:val="28"/>
          <w:lang w:val="en-US" w:eastAsia="zh-CN"/>
        </w:rPr>
        <w:t>17:30</w:t>
      </w:r>
      <w:r>
        <w:rPr>
          <w:rFonts w:hint="eastAsia" w:asciiTheme="minorEastAsia" w:hAnsiTheme="minorEastAsia" w:eastAsiaTheme="minorEastAsia" w:cstheme="minorEastAsia"/>
          <w:bCs/>
          <w:sz w:val="28"/>
          <w:szCs w:val="28"/>
        </w:rPr>
        <w:t>时前送达本公司。</w:t>
      </w:r>
    </w:p>
    <w:p>
      <w:pPr>
        <w:spacing w:before="156" w:beforeLines="50" w:after="156" w:afterLines="50" w:line="540" w:lineRule="exact"/>
        <w:ind w:firstLine="562" w:firstLineChars="200"/>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8.材料递交方式</w:t>
      </w:r>
    </w:p>
    <w:p>
      <w:pPr>
        <w:spacing w:line="540" w:lineRule="exact"/>
        <w:ind w:firstLine="560" w:firstLineChars="20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材料可选择邮寄或专人送达，送达地址及联系人具体如下：</w:t>
      </w:r>
    </w:p>
    <w:p>
      <w:pPr>
        <w:spacing w:line="54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Cs/>
          <w:sz w:val="28"/>
          <w:szCs w:val="28"/>
        </w:rPr>
        <w:t>地址：</w:t>
      </w:r>
      <w:r>
        <w:rPr>
          <w:rFonts w:hint="eastAsia" w:asciiTheme="minorEastAsia" w:hAnsiTheme="minorEastAsia" w:eastAsiaTheme="minorEastAsia" w:cstheme="minorEastAsia"/>
          <w:sz w:val="28"/>
          <w:szCs w:val="28"/>
        </w:rPr>
        <w:t>福建省漳州市芗城区琥珀路7号福建片仔癀化妆品有限公司企管部</w:t>
      </w:r>
    </w:p>
    <w:p>
      <w:pPr>
        <w:spacing w:line="54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联系人：黄女士</w:t>
      </w:r>
    </w:p>
    <w:p>
      <w:pPr>
        <w:spacing w:line="54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联系电话：0596-2303100</w:t>
      </w:r>
    </w:p>
    <w:p>
      <w:pPr>
        <w:spacing w:line="54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若对比选文件有不明之处，请于比选文件公告日起至比选材料递交截止日的工作时间（周一至周五，上午8：00-12：00，下午14：30-17：30，法定节假日除外）咨询本公司证券投资部陈女士，联系电话0596-2306826。</w:t>
      </w:r>
    </w:p>
    <w:p>
      <w:pPr>
        <w:spacing w:before="156" w:beforeLines="50" w:after="156" w:afterLines="50" w:line="540" w:lineRule="exact"/>
        <w:ind w:firstLine="562" w:firstLineChars="200"/>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9.比选评审及中选原则</w:t>
      </w:r>
    </w:p>
    <w:p>
      <w:pPr>
        <w:spacing w:line="54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本项目将采取综合评审的方式进行选定评估机构。本公司将组织评审小组根据本比选文件附件中的比选标准对参与比选并提交比选材料的各评估机构进行评分，并确定综合得分最高者为中选方。</w:t>
      </w:r>
    </w:p>
    <w:p>
      <w:pPr>
        <w:snapToGrid w:val="0"/>
        <w:spacing w:before="156" w:beforeLines="50" w:after="156" w:afterLines="50" w:line="540" w:lineRule="exact"/>
        <w:ind w:firstLine="562"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10.</w:t>
      </w:r>
      <w:r>
        <w:rPr>
          <w:rFonts w:hint="eastAsia" w:asciiTheme="minorEastAsia" w:hAnsiTheme="minorEastAsia" w:eastAsiaTheme="minorEastAsia" w:cstheme="minorEastAsia"/>
          <w:sz w:val="28"/>
          <w:szCs w:val="28"/>
        </w:rPr>
        <w:t>本比选文件相关事项务请各评估机构严格保密，对于签订委托合同单位在整个工作过程中对接触到的文件、信息、资料给予保密。未尽事宜请与本公司联系，具体联系人及联系方式详见本部分第8点。</w:t>
      </w:r>
    </w:p>
    <w:p>
      <w:pPr>
        <w:snapToGrid w:val="0"/>
        <w:spacing w:before="156" w:beforeLines="50" w:after="156" w:afterLines="50" w:line="540" w:lineRule="exact"/>
        <w:ind w:firstLine="562"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11</w:t>
      </w:r>
      <w:r>
        <w:rPr>
          <w:rFonts w:hint="eastAsia" w:asciiTheme="minorEastAsia" w:hAnsiTheme="minorEastAsia" w:eastAsiaTheme="minorEastAsia" w:cstheme="minorEastAsia"/>
          <w:sz w:val="28"/>
          <w:szCs w:val="28"/>
        </w:rPr>
        <w:t>.比选文件发布公告的媒介：本次公开比选公告仅在福建片仔癀化妆品有限公司官网（www.pzhchina.com）上发布，其他任何媒介上转载的比选信息均为非法转载，均属无效，因轻信其他组织、个人或媒体提供的信息而造成损失的，本公司概不负责。</w:t>
      </w:r>
    </w:p>
    <w:p>
      <w:pPr>
        <w:spacing w:before="156" w:beforeLines="50" w:after="156" w:afterLines="50" w:line="540" w:lineRule="exact"/>
        <w:ind w:firstLine="562"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12.</w:t>
      </w:r>
      <w:r>
        <w:rPr>
          <w:rFonts w:hint="eastAsia" w:asciiTheme="minorEastAsia" w:hAnsiTheme="minorEastAsia" w:eastAsiaTheme="minorEastAsia" w:cstheme="minorEastAsia"/>
          <w:sz w:val="28"/>
          <w:szCs w:val="28"/>
        </w:rPr>
        <w:t>本比选文件的最终解释权归本公司。</w:t>
      </w:r>
    </w:p>
    <w:p>
      <w:pPr>
        <w:spacing w:before="156" w:beforeLines="50" w:after="156" w:afterLines="50" w:line="540" w:lineRule="exact"/>
        <w:ind w:firstLine="560" w:firstLineChars="200"/>
        <w:rPr>
          <w:rFonts w:asciiTheme="minorEastAsia" w:hAnsiTheme="minorEastAsia" w:eastAsiaTheme="minorEastAsia" w:cstheme="minorEastAsia"/>
          <w:sz w:val="28"/>
          <w:szCs w:val="28"/>
        </w:rPr>
      </w:pPr>
    </w:p>
    <w:p>
      <w:pPr>
        <w:spacing w:before="156" w:beforeLines="50" w:after="156" w:afterLines="50" w:line="540" w:lineRule="exact"/>
        <w:ind w:firstLine="562" w:firstLineChars="200"/>
        <w:rPr>
          <w:rFonts w:asciiTheme="minorEastAsia" w:hAnsiTheme="minorEastAsia" w:eastAsiaTheme="minorEastAsia" w:cstheme="minorEastAsia"/>
          <w:b/>
          <w:bCs/>
          <w:sz w:val="28"/>
          <w:szCs w:val="28"/>
        </w:rPr>
      </w:pPr>
    </w:p>
    <w:p>
      <w:pPr>
        <w:spacing w:before="156" w:beforeLines="50" w:after="156" w:afterLines="50" w:line="540" w:lineRule="exact"/>
        <w:ind w:firstLine="562" w:firstLineChars="200"/>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附件资料：</w:t>
      </w:r>
    </w:p>
    <w:p>
      <w:pPr>
        <w:pStyle w:val="10"/>
        <w:spacing w:before="0" w:beforeAutospacing="0" w:after="0" w:afterAutospacing="0" w:line="54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附件1：比选标准</w:t>
      </w:r>
    </w:p>
    <w:p>
      <w:pPr>
        <w:pStyle w:val="10"/>
        <w:spacing w:before="0" w:beforeAutospacing="0" w:after="0" w:afterAutospacing="0" w:line="54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附件2：评估机构提交比选文件清单及说明</w:t>
      </w:r>
    </w:p>
    <w:p>
      <w:pPr>
        <w:spacing w:line="54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附件3：项目组成员清单</w:t>
      </w:r>
    </w:p>
    <w:p>
      <w:pPr>
        <w:spacing w:line="54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附件4：评估机构业绩证明材料</w:t>
      </w:r>
    </w:p>
    <w:p>
      <w:pPr>
        <w:pStyle w:val="10"/>
        <w:spacing w:before="0" w:beforeAutospacing="0" w:after="0" w:afterAutospacing="0" w:line="54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附件5：资产评估费用报价单</w:t>
      </w:r>
    </w:p>
    <w:p>
      <w:pPr>
        <w:pStyle w:val="10"/>
        <w:spacing w:before="0" w:beforeAutospacing="0" w:after="0" w:afterAutospacing="0" w:line="540" w:lineRule="exact"/>
        <w:ind w:firstLine="560" w:firstLineChars="200"/>
        <w:jc w:val="both"/>
        <w:rPr>
          <w:rFonts w:asciiTheme="minorEastAsia" w:hAnsiTheme="minorEastAsia" w:eastAsiaTheme="minorEastAsia" w:cstheme="minorEastAsia"/>
          <w:kern w:val="2"/>
          <w:sz w:val="28"/>
          <w:szCs w:val="28"/>
        </w:rPr>
      </w:pPr>
      <w:r>
        <w:rPr>
          <w:rFonts w:hint="eastAsia" w:asciiTheme="minorEastAsia" w:hAnsiTheme="minorEastAsia" w:eastAsiaTheme="minorEastAsia" w:cstheme="minorEastAsia"/>
          <w:sz w:val="28"/>
          <w:szCs w:val="28"/>
        </w:rPr>
        <w:t>附件6：参与比选承诺函</w:t>
      </w:r>
    </w:p>
    <w:p>
      <w:pPr>
        <w:spacing w:line="54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附件7：授权委托书</w:t>
      </w:r>
    </w:p>
    <w:p>
      <w:pPr>
        <w:snapToGrid w:val="0"/>
        <w:spacing w:before="120" w:line="540" w:lineRule="exact"/>
        <w:ind w:firstLine="420" w:firstLineChars="150"/>
        <w:jc w:val="right"/>
        <w:rPr>
          <w:rFonts w:asciiTheme="minorEastAsia" w:hAnsiTheme="minorEastAsia" w:eastAsiaTheme="minorEastAsia" w:cstheme="minorEastAsia"/>
          <w:color w:val="0000FF"/>
          <w:sz w:val="28"/>
          <w:szCs w:val="28"/>
        </w:rPr>
      </w:pPr>
    </w:p>
    <w:p>
      <w:pPr>
        <w:snapToGrid w:val="0"/>
        <w:spacing w:before="120" w:line="540" w:lineRule="exact"/>
        <w:ind w:firstLine="420" w:firstLineChars="150"/>
        <w:jc w:val="right"/>
        <w:rPr>
          <w:rFonts w:asciiTheme="minorEastAsia" w:hAnsiTheme="minorEastAsia" w:eastAsiaTheme="minorEastAsia" w:cstheme="minorEastAsia"/>
          <w:color w:val="0000FF"/>
          <w:sz w:val="28"/>
          <w:szCs w:val="28"/>
        </w:rPr>
      </w:pPr>
    </w:p>
    <w:p>
      <w:pPr>
        <w:snapToGrid w:val="0"/>
        <w:spacing w:before="120" w:line="540" w:lineRule="exact"/>
        <w:ind w:firstLine="420" w:firstLineChars="150"/>
        <w:jc w:val="right"/>
        <w:rPr>
          <w:rFonts w:asciiTheme="minorEastAsia" w:hAnsiTheme="minorEastAsia" w:eastAsiaTheme="minorEastAsia" w:cstheme="minorEastAsia"/>
          <w:color w:val="0000FF"/>
          <w:sz w:val="28"/>
          <w:szCs w:val="28"/>
        </w:rPr>
      </w:pPr>
    </w:p>
    <w:p>
      <w:pPr>
        <w:snapToGrid w:val="0"/>
        <w:spacing w:before="120" w:line="540" w:lineRule="exact"/>
        <w:ind w:firstLine="420" w:firstLineChars="150"/>
        <w:jc w:val="righ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比选人：福建片仔癀化妆品有限公司   </w:t>
      </w:r>
    </w:p>
    <w:p>
      <w:pPr>
        <w:wordWrap w:val="0"/>
        <w:snapToGrid w:val="0"/>
        <w:spacing w:before="120" w:line="540" w:lineRule="exact"/>
        <w:ind w:firstLine="420" w:firstLineChars="150"/>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2021年10月</w:t>
      </w:r>
      <w:r>
        <w:rPr>
          <w:rFonts w:hint="eastAsia" w:asciiTheme="minorEastAsia" w:hAnsiTheme="minorEastAsia" w:eastAsiaTheme="minorEastAsia" w:cstheme="minorEastAsia"/>
          <w:sz w:val="28"/>
          <w:szCs w:val="28"/>
          <w:lang w:val="en-US" w:eastAsia="zh-CN"/>
        </w:rPr>
        <w:t>19</w:t>
      </w:r>
      <w:r>
        <w:rPr>
          <w:rFonts w:hint="eastAsia" w:asciiTheme="minorEastAsia" w:hAnsiTheme="minorEastAsia" w:eastAsiaTheme="minorEastAsia" w:cstheme="minorEastAsia"/>
          <w:sz w:val="28"/>
          <w:szCs w:val="28"/>
        </w:rPr>
        <w:t xml:space="preserve">日   </w:t>
      </w:r>
    </w:p>
    <w:p>
      <w:pPr>
        <w:spacing w:line="360" w:lineRule="auto"/>
        <w:rPr>
          <w:rFonts w:ascii="宋体" w:hAnsi="宋体" w:cs="宋体"/>
          <w:b/>
          <w:sz w:val="24"/>
        </w:rPr>
      </w:pPr>
      <w:r>
        <w:rPr>
          <w:rFonts w:hint="eastAsia" w:ascii="宋体" w:hAnsi="宋体"/>
          <w:b/>
          <w:sz w:val="24"/>
        </w:rPr>
        <w:t>附件1：</w:t>
      </w:r>
    </w:p>
    <w:p>
      <w:pPr>
        <w:pStyle w:val="16"/>
        <w:adjustRightInd w:val="0"/>
        <w:snapToGrid w:val="0"/>
        <w:spacing w:before="156" w:beforeLines="50" w:after="156" w:afterLines="50" w:line="360" w:lineRule="auto"/>
        <w:ind w:firstLine="0" w:firstLineChars="0"/>
        <w:jc w:val="center"/>
        <w:rPr>
          <w:rFonts w:ascii="宋体" w:hAnsi="宋体" w:cs="宋体"/>
          <w:b/>
          <w:sz w:val="32"/>
          <w:szCs w:val="32"/>
        </w:rPr>
      </w:pPr>
      <w:r>
        <w:rPr>
          <w:rFonts w:hint="eastAsia" w:ascii="宋体" w:hAnsi="宋体" w:cs="宋体"/>
          <w:b/>
          <w:sz w:val="32"/>
          <w:szCs w:val="32"/>
        </w:rPr>
        <w:t>比选标准</w:t>
      </w:r>
    </w:p>
    <w:p>
      <w:pPr>
        <w:numPr>
          <w:ilvl w:val="0"/>
          <w:numId w:val="1"/>
        </w:numPr>
        <w:adjustRightInd w:val="0"/>
        <w:snapToGrid w:val="0"/>
        <w:spacing w:before="100" w:line="360" w:lineRule="auto"/>
        <w:ind w:left="0" w:firstLine="482" w:firstLineChars="200"/>
        <w:rPr>
          <w:rFonts w:ascii="宋体" w:hAnsi="宋体"/>
          <w:b/>
          <w:sz w:val="24"/>
        </w:rPr>
      </w:pPr>
      <w:r>
        <w:rPr>
          <w:rFonts w:hint="eastAsia" w:ascii="宋体" w:hAnsi="宋体"/>
          <w:b/>
          <w:sz w:val="24"/>
        </w:rPr>
        <w:t>本次比选采取综合评分法，满分为100分。根据候选人提交的文件，经评审小组评审后，按照评审结果进行排序分别选出第一候选人、第二候选人、第三候选人。如出现相同的最高得分，则报价最低的确定为中选人，若报价一致，则以抽签方式确定中选人。</w:t>
      </w:r>
    </w:p>
    <w:p>
      <w:pPr>
        <w:numPr>
          <w:ilvl w:val="0"/>
          <w:numId w:val="1"/>
        </w:numPr>
        <w:adjustRightInd w:val="0"/>
        <w:snapToGrid w:val="0"/>
        <w:spacing w:before="100" w:line="360" w:lineRule="auto"/>
        <w:ind w:left="0" w:firstLine="482" w:firstLineChars="200"/>
        <w:rPr>
          <w:rFonts w:ascii="宋体" w:hAnsi="宋体"/>
          <w:b/>
          <w:sz w:val="24"/>
        </w:rPr>
      </w:pPr>
      <w:r>
        <w:rPr>
          <w:rFonts w:hint="eastAsia" w:ascii="宋体" w:hAnsi="宋体"/>
          <w:b/>
          <w:sz w:val="24"/>
        </w:rPr>
        <w:t>当排名第一的中选人放弃中选或因不可抗力提出不能提供本项目服务时，</w:t>
      </w:r>
      <w:r>
        <w:rPr>
          <w:rFonts w:hint="eastAsia" w:ascii="宋体" w:hAnsi="宋体"/>
          <w:b/>
          <w:sz w:val="24"/>
          <w:lang w:eastAsia="zh-CN"/>
        </w:rPr>
        <w:t>或</w:t>
      </w:r>
      <w:r>
        <w:rPr>
          <w:rFonts w:hint="eastAsia" w:ascii="宋体" w:hAnsi="宋体"/>
          <w:b/>
          <w:sz w:val="24"/>
        </w:rPr>
        <w:t>中选后发现中选</w:t>
      </w:r>
      <w:r>
        <w:rPr>
          <w:rFonts w:hint="eastAsia" w:ascii="宋体" w:hAnsi="宋体"/>
          <w:b/>
          <w:sz w:val="24"/>
          <w:lang w:eastAsia="zh-CN"/>
        </w:rPr>
        <w:t>人存在欺瞒</w:t>
      </w:r>
      <w:r>
        <w:rPr>
          <w:rFonts w:hint="eastAsia" w:ascii="宋体" w:hAnsi="宋体"/>
          <w:b/>
          <w:sz w:val="24"/>
        </w:rPr>
        <w:t>行为</w:t>
      </w:r>
      <w:r>
        <w:rPr>
          <w:rFonts w:hint="eastAsia" w:ascii="宋体" w:hAnsi="宋体"/>
          <w:b/>
          <w:sz w:val="24"/>
          <w:lang w:eastAsia="zh-CN"/>
        </w:rPr>
        <w:t>、</w:t>
      </w:r>
      <w:r>
        <w:rPr>
          <w:rFonts w:hint="eastAsia" w:ascii="宋体" w:hAnsi="宋体"/>
          <w:b/>
          <w:sz w:val="24"/>
        </w:rPr>
        <w:t>提供虚假材料</w:t>
      </w:r>
      <w:r>
        <w:rPr>
          <w:rFonts w:hint="eastAsia" w:ascii="宋体" w:hAnsi="宋体"/>
          <w:b/>
          <w:sz w:val="24"/>
          <w:lang w:eastAsia="zh-CN"/>
        </w:rPr>
        <w:t>情形，取消其中选资格，</w:t>
      </w:r>
      <w:r>
        <w:rPr>
          <w:rFonts w:hint="eastAsia" w:ascii="宋体" w:hAnsi="宋体"/>
          <w:b/>
          <w:sz w:val="24"/>
        </w:rPr>
        <w:t>评审小组可以确定排名第二的候选人为中选人，以此类推。</w:t>
      </w:r>
    </w:p>
    <w:p>
      <w:pPr>
        <w:numPr>
          <w:ilvl w:val="0"/>
          <w:numId w:val="1"/>
        </w:numPr>
        <w:adjustRightInd w:val="0"/>
        <w:snapToGrid w:val="0"/>
        <w:spacing w:before="100" w:line="360" w:lineRule="auto"/>
        <w:ind w:left="0" w:firstLine="482" w:firstLineChars="200"/>
        <w:rPr>
          <w:rFonts w:ascii="宋体" w:hAnsi="宋体"/>
          <w:b/>
          <w:sz w:val="24"/>
        </w:rPr>
      </w:pPr>
      <w:r>
        <w:rPr>
          <w:rFonts w:hint="eastAsia" w:ascii="宋体" w:hAnsi="宋体"/>
          <w:b/>
          <w:sz w:val="24"/>
        </w:rPr>
        <w:t>参选人仅能以其评估机构自身业绩参与本项目比选报价，分所不得以总所的业绩作为自身业绩参与比选，否则其业绩证明将不被采纳，相应项目不得分。</w:t>
      </w:r>
    </w:p>
    <w:tbl>
      <w:tblPr>
        <w:tblStyle w:val="13"/>
        <w:tblW w:w="8522" w:type="dxa"/>
        <w:jc w:val="center"/>
        <w:tblInd w:w="0" w:type="dxa"/>
        <w:tblLayout w:type="fixed"/>
        <w:tblCellMar>
          <w:top w:w="0" w:type="dxa"/>
          <w:left w:w="108" w:type="dxa"/>
          <w:bottom w:w="0" w:type="dxa"/>
          <w:right w:w="108" w:type="dxa"/>
        </w:tblCellMar>
      </w:tblPr>
      <w:tblGrid>
        <w:gridCol w:w="1226"/>
        <w:gridCol w:w="733"/>
        <w:gridCol w:w="5750"/>
        <w:gridCol w:w="813"/>
      </w:tblGrid>
      <w:tr>
        <w:tblPrEx>
          <w:tblLayout w:type="fixed"/>
          <w:tblCellMar>
            <w:top w:w="0" w:type="dxa"/>
            <w:left w:w="108" w:type="dxa"/>
            <w:bottom w:w="0" w:type="dxa"/>
            <w:right w:w="108" w:type="dxa"/>
          </w:tblCellMar>
        </w:tblPrEx>
        <w:trPr>
          <w:trHeight w:val="585" w:hRule="atLeast"/>
          <w:tblHeader/>
          <w:jc w:val="center"/>
        </w:trPr>
        <w:tc>
          <w:tcPr>
            <w:tcW w:w="12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r>
              <w:rPr>
                <w:rFonts w:hint="eastAsia" w:ascii="宋体" w:hAnsi="宋体" w:cs="宋体"/>
                <w:b/>
                <w:bCs/>
                <w:kern w:val="0"/>
                <w:sz w:val="24"/>
              </w:rPr>
              <w:t>项目</w:t>
            </w:r>
          </w:p>
        </w:tc>
        <w:tc>
          <w:tcPr>
            <w:tcW w:w="733"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r>
              <w:rPr>
                <w:rFonts w:hint="eastAsia" w:ascii="宋体" w:hAnsi="宋体" w:cs="宋体"/>
                <w:b/>
                <w:bCs/>
                <w:kern w:val="0"/>
                <w:sz w:val="24"/>
              </w:rPr>
              <w:t>序号</w:t>
            </w:r>
          </w:p>
        </w:tc>
        <w:tc>
          <w:tcPr>
            <w:tcW w:w="57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r>
              <w:rPr>
                <w:rFonts w:hint="eastAsia" w:ascii="宋体" w:hAnsi="宋体" w:cs="宋体"/>
                <w:b/>
                <w:bCs/>
                <w:kern w:val="0"/>
                <w:sz w:val="24"/>
              </w:rPr>
              <w:t>评分细则</w:t>
            </w:r>
          </w:p>
        </w:tc>
        <w:tc>
          <w:tcPr>
            <w:tcW w:w="813"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r>
              <w:rPr>
                <w:rFonts w:hint="eastAsia" w:ascii="宋体" w:hAnsi="宋体" w:cs="宋体"/>
                <w:b/>
                <w:bCs/>
                <w:kern w:val="0"/>
                <w:sz w:val="24"/>
              </w:rPr>
              <w:t>分值</w:t>
            </w:r>
          </w:p>
        </w:tc>
      </w:tr>
      <w:tr>
        <w:tblPrEx>
          <w:tblLayout w:type="fixed"/>
          <w:tblCellMar>
            <w:top w:w="0" w:type="dxa"/>
            <w:left w:w="108" w:type="dxa"/>
            <w:bottom w:w="0" w:type="dxa"/>
            <w:right w:w="108" w:type="dxa"/>
          </w:tblCellMar>
        </w:tblPrEx>
        <w:trPr>
          <w:trHeight w:val="927" w:hRule="exact"/>
          <w:jc w:val="center"/>
        </w:trPr>
        <w:tc>
          <w:tcPr>
            <w:tcW w:w="122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评估机构基本情况</w:t>
            </w:r>
          </w:p>
          <w:p>
            <w:pPr>
              <w:widowControl/>
              <w:spacing w:line="360" w:lineRule="auto"/>
              <w:jc w:val="left"/>
              <w:rPr>
                <w:rFonts w:ascii="宋体" w:hAnsi="宋体" w:cs="宋体"/>
                <w:kern w:val="0"/>
                <w:sz w:val="24"/>
              </w:rPr>
            </w:pPr>
            <w:r>
              <w:rPr>
                <w:rFonts w:hint="eastAsia" w:ascii="宋体" w:hAnsi="宋体" w:cs="宋体"/>
                <w:kern w:val="0"/>
                <w:sz w:val="24"/>
              </w:rPr>
              <w:t>（34分）</w:t>
            </w: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1</w:t>
            </w:r>
          </w:p>
        </w:tc>
        <w:tc>
          <w:tcPr>
            <w:tcW w:w="5750" w:type="dxa"/>
            <w:tcBorders>
              <w:top w:val="nil"/>
              <w:left w:val="nil"/>
              <w:bottom w:val="single" w:color="auto" w:sz="4" w:space="0"/>
              <w:right w:val="single" w:color="auto" w:sz="4" w:space="0"/>
            </w:tcBorders>
            <w:shd w:val="clear" w:color="auto" w:fill="auto"/>
            <w:vAlign w:val="center"/>
          </w:tcPr>
          <w:p>
            <w:pPr>
              <w:widowControl/>
              <w:spacing w:line="360" w:lineRule="auto"/>
              <w:rPr>
                <w:rFonts w:ascii="宋体" w:hAnsi="宋体" w:cs="宋体"/>
                <w:kern w:val="0"/>
                <w:sz w:val="24"/>
              </w:rPr>
            </w:pPr>
            <w:r>
              <w:rPr>
                <w:rFonts w:hint="eastAsia" w:ascii="宋体" w:hAnsi="宋体" w:cs="宋体"/>
                <w:kern w:val="0"/>
                <w:sz w:val="24"/>
                <w:lang w:bidi="ar"/>
              </w:rPr>
              <w:t>参选人拥有资产评估师30人及以上得5分；15-29人（含2</w:t>
            </w:r>
            <w:r>
              <w:rPr>
                <w:rFonts w:ascii="宋体" w:hAnsi="宋体" w:cs="宋体"/>
                <w:kern w:val="0"/>
                <w:sz w:val="24"/>
                <w:lang w:bidi="ar"/>
              </w:rPr>
              <w:t>9</w:t>
            </w:r>
            <w:r>
              <w:rPr>
                <w:rFonts w:hint="eastAsia" w:ascii="宋体" w:hAnsi="宋体" w:cs="宋体"/>
                <w:kern w:val="0"/>
                <w:sz w:val="24"/>
                <w:lang w:bidi="ar"/>
              </w:rPr>
              <w:t>人）得3分；15人（含1</w:t>
            </w:r>
            <w:r>
              <w:rPr>
                <w:rFonts w:ascii="宋体" w:hAnsi="宋体" w:cs="宋体"/>
                <w:kern w:val="0"/>
                <w:sz w:val="24"/>
                <w:lang w:bidi="ar"/>
              </w:rPr>
              <w:t>5</w:t>
            </w:r>
            <w:r>
              <w:rPr>
                <w:rFonts w:hint="eastAsia" w:ascii="宋体" w:hAnsi="宋体" w:cs="宋体"/>
                <w:kern w:val="0"/>
                <w:sz w:val="24"/>
                <w:lang w:bidi="ar"/>
              </w:rPr>
              <w:t>人）以下得2分。</w:t>
            </w:r>
          </w:p>
        </w:tc>
        <w:tc>
          <w:tcPr>
            <w:tcW w:w="81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5</w:t>
            </w:r>
          </w:p>
        </w:tc>
      </w:tr>
      <w:tr>
        <w:tblPrEx>
          <w:tblLayout w:type="fixed"/>
          <w:tblCellMar>
            <w:top w:w="0" w:type="dxa"/>
            <w:left w:w="108" w:type="dxa"/>
            <w:bottom w:w="0" w:type="dxa"/>
            <w:right w:w="108" w:type="dxa"/>
          </w:tblCellMar>
        </w:tblPrEx>
        <w:trPr>
          <w:trHeight w:val="1881" w:hRule="exact"/>
          <w:jc w:val="center"/>
        </w:trPr>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2</w:t>
            </w:r>
          </w:p>
        </w:tc>
        <w:tc>
          <w:tcPr>
            <w:tcW w:w="5750" w:type="dxa"/>
            <w:tcBorders>
              <w:top w:val="nil"/>
              <w:left w:val="nil"/>
              <w:bottom w:val="single" w:color="auto" w:sz="4" w:space="0"/>
              <w:right w:val="single" w:color="auto" w:sz="4" w:space="0"/>
            </w:tcBorders>
            <w:shd w:val="clear" w:color="auto" w:fill="auto"/>
            <w:vAlign w:val="center"/>
          </w:tcPr>
          <w:p>
            <w:pPr>
              <w:widowControl/>
              <w:spacing w:line="360" w:lineRule="auto"/>
              <w:rPr>
                <w:rFonts w:ascii="宋体" w:hAnsi="宋体" w:cs="宋体"/>
                <w:kern w:val="0"/>
                <w:sz w:val="24"/>
              </w:rPr>
            </w:pPr>
            <w:r>
              <w:rPr>
                <w:rFonts w:hint="eastAsia" w:ascii="宋体" w:hAnsi="宋体" w:cs="宋体"/>
                <w:kern w:val="0"/>
                <w:sz w:val="24"/>
                <w:lang w:bidi="ar"/>
              </w:rPr>
              <w:t>参选人具有证券资产评估资质的，得</w:t>
            </w:r>
            <w:r>
              <w:rPr>
                <w:rFonts w:ascii="宋体" w:hAnsi="宋体" w:cs="宋体"/>
                <w:kern w:val="0"/>
                <w:sz w:val="24"/>
                <w:lang w:bidi="ar"/>
              </w:rPr>
              <w:t>2</w:t>
            </w:r>
            <w:r>
              <w:rPr>
                <w:rFonts w:hint="eastAsia" w:ascii="宋体" w:hAnsi="宋体" w:cs="宋体"/>
                <w:kern w:val="0"/>
                <w:sz w:val="24"/>
                <w:lang w:bidi="ar"/>
              </w:rPr>
              <w:t>分；房地产估价业务（全国一级资质）的，得</w:t>
            </w:r>
            <w:r>
              <w:rPr>
                <w:rFonts w:ascii="宋体" w:hAnsi="宋体" w:cs="宋体"/>
                <w:kern w:val="0"/>
                <w:sz w:val="24"/>
                <w:lang w:bidi="ar"/>
              </w:rPr>
              <w:t>2</w:t>
            </w:r>
            <w:r>
              <w:rPr>
                <w:rFonts w:hint="eastAsia" w:ascii="宋体" w:hAnsi="宋体" w:cs="宋体"/>
                <w:kern w:val="0"/>
                <w:sz w:val="24"/>
                <w:lang w:bidi="ar"/>
              </w:rPr>
              <w:t>分；土地估价业务（全国范围资质）的，得</w:t>
            </w:r>
            <w:r>
              <w:rPr>
                <w:rFonts w:ascii="宋体" w:hAnsi="宋体" w:cs="宋体"/>
                <w:kern w:val="0"/>
                <w:sz w:val="24"/>
                <w:lang w:bidi="ar"/>
              </w:rPr>
              <w:t>2</w:t>
            </w:r>
            <w:r>
              <w:rPr>
                <w:rFonts w:hint="eastAsia" w:ascii="宋体" w:hAnsi="宋体" w:cs="宋体"/>
                <w:kern w:val="0"/>
                <w:sz w:val="24"/>
                <w:lang w:bidi="ar"/>
              </w:rPr>
              <w:t>分。以上涉及资质审批或备案的，未达到评估行业内最高资质的不得分。</w:t>
            </w:r>
          </w:p>
        </w:tc>
        <w:tc>
          <w:tcPr>
            <w:tcW w:w="81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ascii="宋体" w:hAnsi="宋体" w:cs="宋体"/>
                <w:kern w:val="0"/>
                <w:sz w:val="24"/>
              </w:rPr>
              <w:t>6</w:t>
            </w:r>
          </w:p>
        </w:tc>
      </w:tr>
      <w:tr>
        <w:tblPrEx>
          <w:tblLayout w:type="fixed"/>
          <w:tblCellMar>
            <w:top w:w="0" w:type="dxa"/>
            <w:left w:w="108" w:type="dxa"/>
            <w:bottom w:w="0" w:type="dxa"/>
            <w:right w:w="108" w:type="dxa"/>
          </w:tblCellMar>
        </w:tblPrEx>
        <w:trPr>
          <w:trHeight w:val="1821" w:hRule="exact"/>
          <w:jc w:val="center"/>
        </w:trPr>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3</w:t>
            </w:r>
          </w:p>
        </w:tc>
        <w:tc>
          <w:tcPr>
            <w:tcW w:w="5750" w:type="dxa"/>
            <w:tcBorders>
              <w:top w:val="nil"/>
              <w:left w:val="nil"/>
              <w:bottom w:val="single" w:color="auto" w:sz="4" w:space="0"/>
              <w:right w:val="single" w:color="auto" w:sz="4" w:space="0"/>
            </w:tcBorders>
            <w:shd w:val="clear" w:color="auto" w:fill="auto"/>
            <w:vAlign w:val="center"/>
          </w:tcPr>
          <w:p>
            <w:pPr>
              <w:widowControl/>
              <w:spacing w:line="360" w:lineRule="auto"/>
              <w:rPr>
                <w:rFonts w:ascii="宋体" w:hAnsi="宋体" w:cs="宋体"/>
                <w:kern w:val="0"/>
                <w:sz w:val="24"/>
              </w:rPr>
            </w:pPr>
            <w:r>
              <w:rPr>
                <w:rFonts w:hint="eastAsia" w:ascii="宋体" w:hAnsi="宋体" w:cs="宋体"/>
                <w:kern w:val="0"/>
                <w:sz w:val="24"/>
                <w:lang w:bidi="ar"/>
              </w:rPr>
              <w:t>根据福建省资产评估协会对2020年度资产评估机构收入排名评分，排名最高者得</w:t>
            </w:r>
            <w:r>
              <w:rPr>
                <w:rFonts w:ascii="宋体" w:hAnsi="宋体" w:cs="宋体"/>
                <w:kern w:val="0"/>
                <w:sz w:val="24"/>
                <w:lang w:bidi="ar"/>
              </w:rPr>
              <w:t>6</w:t>
            </w:r>
            <w:r>
              <w:rPr>
                <w:rFonts w:hint="eastAsia" w:ascii="宋体" w:hAnsi="宋体" w:cs="宋体"/>
                <w:kern w:val="0"/>
                <w:sz w:val="24"/>
                <w:lang w:bidi="ar"/>
              </w:rPr>
              <w:t>分，次高者</w:t>
            </w:r>
            <w:r>
              <w:rPr>
                <w:rFonts w:ascii="宋体" w:hAnsi="宋体" w:cs="宋体"/>
                <w:kern w:val="0"/>
                <w:sz w:val="24"/>
                <w:lang w:bidi="ar"/>
              </w:rPr>
              <w:t>5</w:t>
            </w:r>
            <w:r>
              <w:rPr>
                <w:rFonts w:hint="eastAsia" w:ascii="宋体" w:hAnsi="宋体" w:cs="宋体"/>
                <w:kern w:val="0"/>
                <w:sz w:val="24"/>
                <w:lang w:bidi="ar"/>
              </w:rPr>
              <w:t>分，按排名高低依次递减1分，最低得分为1分，不再递减。</w:t>
            </w:r>
            <w:r>
              <w:rPr>
                <w:rFonts w:hint="eastAsia" w:ascii="宋体" w:hAnsi="宋体" w:cs="宋体"/>
                <w:kern w:val="0"/>
                <w:sz w:val="24"/>
              </w:rPr>
              <w:t>需提供官方网站截图。</w:t>
            </w:r>
          </w:p>
        </w:tc>
        <w:tc>
          <w:tcPr>
            <w:tcW w:w="81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ascii="宋体" w:hAnsi="宋体" w:cs="宋体"/>
                <w:kern w:val="0"/>
                <w:sz w:val="24"/>
              </w:rPr>
              <w:t>6</w:t>
            </w:r>
          </w:p>
        </w:tc>
      </w:tr>
      <w:tr>
        <w:tblPrEx>
          <w:tblLayout w:type="fixed"/>
          <w:tblCellMar>
            <w:top w:w="0" w:type="dxa"/>
            <w:left w:w="108" w:type="dxa"/>
            <w:bottom w:w="0" w:type="dxa"/>
            <w:right w:w="108" w:type="dxa"/>
          </w:tblCellMar>
        </w:tblPrEx>
        <w:trPr>
          <w:trHeight w:val="932" w:hRule="atLeast"/>
          <w:jc w:val="center"/>
        </w:trPr>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4</w:t>
            </w:r>
          </w:p>
        </w:tc>
        <w:tc>
          <w:tcPr>
            <w:tcW w:w="5750" w:type="dxa"/>
            <w:tcBorders>
              <w:top w:val="nil"/>
              <w:left w:val="nil"/>
              <w:bottom w:val="single" w:color="auto" w:sz="4" w:space="0"/>
              <w:right w:val="single" w:color="auto" w:sz="4" w:space="0"/>
            </w:tcBorders>
            <w:shd w:val="clear" w:color="auto" w:fill="auto"/>
            <w:vAlign w:val="center"/>
          </w:tcPr>
          <w:p>
            <w:pPr>
              <w:widowControl/>
              <w:tabs>
                <w:tab w:val="left" w:pos="1260"/>
              </w:tabs>
              <w:spacing w:line="360" w:lineRule="auto"/>
              <w:rPr>
                <w:rFonts w:ascii="宋体" w:hAnsi="宋体" w:cs="宋体"/>
                <w:kern w:val="0"/>
                <w:sz w:val="24"/>
              </w:rPr>
            </w:pPr>
            <w:r>
              <w:rPr>
                <w:rFonts w:hint="eastAsia" w:ascii="宋体" w:hAnsi="宋体" w:cs="宋体"/>
                <w:kern w:val="0"/>
                <w:sz w:val="24"/>
                <w:lang w:bidi="ar"/>
              </w:rPr>
              <w:t>入选省国资委中介机构信息库名单得5分，未在名单内不得分。</w:t>
            </w:r>
          </w:p>
        </w:tc>
        <w:tc>
          <w:tcPr>
            <w:tcW w:w="81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5</w:t>
            </w:r>
          </w:p>
        </w:tc>
      </w:tr>
      <w:tr>
        <w:tblPrEx>
          <w:tblLayout w:type="fixed"/>
          <w:tblCellMar>
            <w:top w:w="0" w:type="dxa"/>
            <w:left w:w="108" w:type="dxa"/>
            <w:bottom w:w="0" w:type="dxa"/>
            <w:right w:w="108" w:type="dxa"/>
          </w:tblCellMar>
        </w:tblPrEx>
        <w:trPr>
          <w:trHeight w:val="947" w:hRule="atLeast"/>
          <w:jc w:val="center"/>
        </w:trPr>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5</w:t>
            </w:r>
          </w:p>
        </w:tc>
        <w:tc>
          <w:tcPr>
            <w:tcW w:w="575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宋体" w:hAnsi="宋体" w:cs="宋体"/>
                <w:kern w:val="0"/>
                <w:sz w:val="24"/>
                <w:lang w:bidi="ar"/>
              </w:rPr>
            </w:pPr>
            <w:r>
              <w:rPr>
                <w:rFonts w:hint="eastAsia" w:ascii="宋体" w:hAnsi="宋体" w:cs="宋体"/>
                <w:kern w:val="0"/>
                <w:sz w:val="24"/>
                <w:lang w:bidi="ar"/>
              </w:rPr>
              <w:t>评估机构参加过国有企业混改评估项目的，提供相关案例，一项得2分，满分6分。</w:t>
            </w:r>
          </w:p>
        </w:tc>
        <w:tc>
          <w:tcPr>
            <w:tcW w:w="81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6</w:t>
            </w:r>
          </w:p>
        </w:tc>
      </w:tr>
      <w:tr>
        <w:tblPrEx>
          <w:tblLayout w:type="fixed"/>
          <w:tblCellMar>
            <w:top w:w="0" w:type="dxa"/>
            <w:left w:w="108" w:type="dxa"/>
            <w:bottom w:w="0" w:type="dxa"/>
            <w:right w:w="108" w:type="dxa"/>
          </w:tblCellMar>
        </w:tblPrEx>
        <w:trPr>
          <w:trHeight w:val="987" w:hRule="atLeast"/>
          <w:jc w:val="center"/>
        </w:trPr>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c>
          <w:tcPr>
            <w:tcW w:w="733"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6</w:t>
            </w:r>
          </w:p>
        </w:tc>
        <w:tc>
          <w:tcPr>
            <w:tcW w:w="575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宋体" w:hAnsi="宋体" w:cs="宋体"/>
                <w:kern w:val="0"/>
                <w:sz w:val="24"/>
                <w:lang w:bidi="ar"/>
              </w:rPr>
            </w:pPr>
            <w:r>
              <w:rPr>
                <w:rFonts w:hint="eastAsia" w:ascii="宋体" w:hAnsi="宋体" w:cs="宋体"/>
                <w:kern w:val="0"/>
                <w:sz w:val="24"/>
                <w:lang w:bidi="ar"/>
              </w:rPr>
              <w:t>评估机构参加过国有企业股改评估项目的，提供相关案例，一项得2分，满分6分。</w:t>
            </w:r>
          </w:p>
        </w:tc>
        <w:tc>
          <w:tcPr>
            <w:tcW w:w="81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6</w:t>
            </w:r>
          </w:p>
        </w:tc>
      </w:tr>
      <w:tr>
        <w:tblPrEx>
          <w:tblLayout w:type="fixed"/>
          <w:tblCellMar>
            <w:top w:w="0" w:type="dxa"/>
            <w:left w:w="108" w:type="dxa"/>
            <w:bottom w:w="0" w:type="dxa"/>
            <w:right w:w="108" w:type="dxa"/>
          </w:tblCellMar>
        </w:tblPrEx>
        <w:trPr>
          <w:trHeight w:val="987" w:hRule="atLeast"/>
          <w:jc w:val="center"/>
        </w:trPr>
        <w:tc>
          <w:tcPr>
            <w:tcW w:w="12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主要团队人员信息及工作方案</w:t>
            </w:r>
          </w:p>
          <w:p>
            <w:pPr>
              <w:widowControl/>
              <w:spacing w:line="360" w:lineRule="auto"/>
              <w:jc w:val="center"/>
              <w:rPr>
                <w:rFonts w:ascii="宋体" w:hAnsi="宋体" w:cs="宋体"/>
                <w:kern w:val="0"/>
                <w:sz w:val="24"/>
              </w:rPr>
            </w:pPr>
            <w:r>
              <w:rPr>
                <w:rFonts w:hint="eastAsia" w:ascii="宋体" w:hAnsi="宋体" w:cs="宋体"/>
                <w:kern w:val="0"/>
                <w:sz w:val="24"/>
              </w:rPr>
              <w:t>（</w:t>
            </w:r>
            <w:r>
              <w:rPr>
                <w:rFonts w:ascii="宋体" w:hAnsi="宋体" w:cs="宋体"/>
                <w:kern w:val="0"/>
                <w:sz w:val="24"/>
              </w:rPr>
              <w:t>1</w:t>
            </w:r>
            <w:r>
              <w:rPr>
                <w:rFonts w:hint="eastAsia" w:ascii="宋体" w:hAnsi="宋体" w:cs="宋体"/>
                <w:kern w:val="0"/>
                <w:sz w:val="24"/>
              </w:rPr>
              <w:t>6分）</w:t>
            </w:r>
          </w:p>
        </w:tc>
        <w:tc>
          <w:tcPr>
            <w:tcW w:w="73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 xml:space="preserve">7 </w:t>
            </w:r>
          </w:p>
        </w:tc>
        <w:tc>
          <w:tcPr>
            <w:tcW w:w="5750" w:type="dxa"/>
            <w:tcBorders>
              <w:top w:val="nil"/>
              <w:left w:val="nil"/>
              <w:bottom w:val="single" w:color="auto" w:sz="4" w:space="0"/>
              <w:right w:val="single" w:color="auto" w:sz="4" w:space="0"/>
            </w:tcBorders>
            <w:shd w:val="clear" w:color="auto" w:fill="auto"/>
            <w:vAlign w:val="center"/>
          </w:tcPr>
          <w:p>
            <w:pPr>
              <w:widowControl/>
              <w:spacing w:line="360" w:lineRule="auto"/>
              <w:rPr>
                <w:rFonts w:ascii="宋体" w:hAnsi="宋体" w:cs="宋体"/>
                <w:kern w:val="0"/>
                <w:sz w:val="24"/>
              </w:rPr>
            </w:pPr>
            <w:r>
              <w:rPr>
                <w:rFonts w:hint="eastAsia" w:ascii="宋体" w:hAnsi="宋体" w:cs="宋体"/>
                <w:kern w:val="0"/>
                <w:sz w:val="24"/>
                <w:lang w:bidi="ar"/>
              </w:rPr>
              <w:t>项目组长或组员持有资产评估师资格证，每一名得1分，封顶6分</w:t>
            </w:r>
            <w:r>
              <w:rPr>
                <w:rFonts w:hint="eastAsia" w:ascii="宋体" w:hAnsi="宋体" w:cs="宋体"/>
                <w:kern w:val="0"/>
                <w:sz w:val="24"/>
              </w:rPr>
              <w:t>。</w:t>
            </w:r>
          </w:p>
        </w:tc>
        <w:tc>
          <w:tcPr>
            <w:tcW w:w="81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ascii="宋体" w:hAnsi="宋体" w:cs="宋体"/>
                <w:kern w:val="0"/>
                <w:sz w:val="24"/>
              </w:rPr>
              <mc:AlternateContent>
                <mc:Choice Requires="wps">
                  <w:drawing>
                    <wp:anchor distT="0" distB="0" distL="114300" distR="114300" simplePos="0" relativeHeight="251658240" behindDoc="0" locked="0" layoutInCell="1" allowOverlap="1">
                      <wp:simplePos x="0" y="0"/>
                      <wp:positionH relativeFrom="column">
                        <wp:posOffset>3556000</wp:posOffset>
                      </wp:positionH>
                      <wp:positionV relativeFrom="paragraph">
                        <wp:posOffset>-490220</wp:posOffset>
                      </wp:positionV>
                      <wp:extent cx="552450" cy="1905"/>
                      <wp:effectExtent l="0" t="0" r="0" b="0"/>
                      <wp:wrapNone/>
                      <wp:docPr id="2" name="直接连接符 2"/>
                      <wp:cNvGraphicFramePr/>
                      <a:graphic xmlns:a="http://schemas.openxmlformats.org/drawingml/2006/main">
                        <a:graphicData uri="http://schemas.microsoft.com/office/word/2010/wordprocessingShape">
                          <wps:wsp>
                            <wps:cNvCnPr/>
                            <wps:spPr>
                              <a:xfrm flipV="1">
                                <a:off x="5990590" y="1284605"/>
                                <a:ext cx="552450" cy="19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280pt;margin-top:-38.6pt;height:0.15pt;width:43.5pt;z-index:251658240;mso-width-relative:page;mso-height-relative:page;" filled="f" stroked="t" coordsize="21600,21600" o:gfxdata="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BoLF5LaAAAACwEA&#10;AA8AAAAAAAAAAQAgAAAAIgAAAGRycy9kb3ducmV2LnhtbFBLAQIUABQAAAAIAIdO4kCMEfSj3wEA&#10;AHsDAAAOAAAAAAAAAAEAIAAAACkBAABkcnMvZTJvRG9jLnhtbFBLBQYAAAAABgAGAFkBAAB6BQAA&#10;AAA=&#10;">
                      <v:fill on="f" focussize="0,0"/>
                      <v:stroke weight="0.5pt" color="#5B9BD5 [3204]" miterlimit="8" joinstyle="miter"/>
                      <v:imagedata o:title=""/>
                      <o:lock v:ext="edit" aspectratio="f"/>
                    </v:line>
                  </w:pict>
                </mc:Fallback>
              </mc:AlternateContent>
            </w:r>
            <w:r>
              <w:rPr>
                <w:rFonts w:ascii="宋体" w:hAnsi="宋体" w:cs="宋体"/>
                <w:kern w:val="0"/>
                <w:sz w:val="24"/>
              </w:rPr>
              <w:t>6</w:t>
            </w:r>
          </w:p>
        </w:tc>
      </w:tr>
      <w:tr>
        <w:tblPrEx>
          <w:tblLayout w:type="fixed"/>
          <w:tblCellMar>
            <w:top w:w="0" w:type="dxa"/>
            <w:left w:w="108" w:type="dxa"/>
            <w:bottom w:w="0" w:type="dxa"/>
            <w:right w:w="108" w:type="dxa"/>
          </w:tblCellMar>
        </w:tblPrEx>
        <w:trPr>
          <w:trHeight w:val="3685" w:hRule="atLeast"/>
          <w:jc w:val="center"/>
        </w:trPr>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c>
          <w:tcPr>
            <w:tcW w:w="73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8</w:t>
            </w:r>
          </w:p>
        </w:tc>
        <w:tc>
          <w:tcPr>
            <w:tcW w:w="5750" w:type="dxa"/>
            <w:tcBorders>
              <w:top w:val="nil"/>
              <w:left w:val="nil"/>
              <w:bottom w:val="single" w:color="auto" w:sz="4" w:space="0"/>
              <w:right w:val="single" w:color="auto" w:sz="4" w:space="0"/>
            </w:tcBorders>
            <w:shd w:val="clear" w:color="auto" w:fill="auto"/>
            <w:vAlign w:val="center"/>
          </w:tcPr>
          <w:p>
            <w:pPr>
              <w:widowControl/>
              <w:spacing w:line="360" w:lineRule="auto"/>
              <w:rPr>
                <w:rFonts w:ascii="宋体" w:hAnsi="宋体" w:cs="宋体"/>
                <w:kern w:val="0"/>
                <w:sz w:val="24"/>
              </w:rPr>
            </w:pPr>
            <w:r>
              <w:rPr>
                <w:rFonts w:hint="eastAsia" w:ascii="宋体" w:hAnsi="宋体" w:cs="宋体"/>
                <w:kern w:val="0"/>
                <w:sz w:val="24"/>
              </w:rPr>
              <w:t>工作方案</w:t>
            </w:r>
            <w:r>
              <w:rPr>
                <w:rFonts w:hint="eastAsia" w:ascii="宋体" w:hAnsi="宋体" w:cs="宋体"/>
                <w:kern w:val="0"/>
                <w:sz w:val="24"/>
              </w:rPr>
              <w:br w:type="textWrapping"/>
            </w:r>
            <w:r>
              <w:rPr>
                <w:rFonts w:hint="eastAsia" w:ascii="宋体" w:hAnsi="宋体" w:cs="宋体"/>
                <w:kern w:val="0"/>
                <w:sz w:val="24"/>
              </w:rPr>
              <w:t>1）方案的制定较好考虑到了本公司的实际情况，对公司业务及行业理解全面、深入，具有较强的可操作性，有保障项目顺利完成的措施得当，得</w:t>
            </w:r>
            <w:r>
              <w:rPr>
                <w:rFonts w:ascii="宋体" w:hAnsi="宋体" w:cs="宋体"/>
                <w:kern w:val="0"/>
                <w:sz w:val="24"/>
              </w:rPr>
              <w:t>8</w:t>
            </w:r>
            <w:r>
              <w:rPr>
                <w:rFonts w:hint="eastAsia" w:ascii="宋体" w:hAnsi="宋体" w:cs="宋体"/>
                <w:kern w:val="0"/>
                <w:sz w:val="24"/>
              </w:rPr>
              <w:t>-</w:t>
            </w:r>
            <w:r>
              <w:rPr>
                <w:rFonts w:ascii="宋体" w:hAnsi="宋体" w:cs="宋体"/>
                <w:kern w:val="0"/>
                <w:sz w:val="24"/>
              </w:rPr>
              <w:t>10</w:t>
            </w:r>
            <w:r>
              <w:rPr>
                <w:rFonts w:hint="eastAsia" w:ascii="宋体" w:hAnsi="宋体" w:cs="宋体"/>
                <w:kern w:val="0"/>
                <w:sz w:val="24"/>
              </w:rPr>
              <w:t>分；</w:t>
            </w:r>
            <w:r>
              <w:rPr>
                <w:rFonts w:hint="eastAsia" w:ascii="宋体" w:hAnsi="宋体" w:cs="宋体"/>
                <w:kern w:val="0"/>
                <w:sz w:val="24"/>
              </w:rPr>
              <w:br w:type="textWrapping"/>
            </w:r>
            <w:r>
              <w:rPr>
                <w:rFonts w:hint="eastAsia" w:ascii="宋体" w:hAnsi="宋体" w:cs="宋体"/>
                <w:kern w:val="0"/>
                <w:sz w:val="24"/>
              </w:rPr>
              <w:t>2）方案制定适当考虑本公司的实际情况，对公司业务及行业有一定理解，具有一定的操作性，保障项目顺利完成的措施可行，得</w:t>
            </w:r>
            <w:r>
              <w:rPr>
                <w:rFonts w:ascii="宋体" w:hAnsi="宋体" w:cs="宋体"/>
                <w:kern w:val="0"/>
                <w:sz w:val="24"/>
              </w:rPr>
              <w:t>5</w:t>
            </w:r>
            <w:r>
              <w:rPr>
                <w:rFonts w:hint="eastAsia" w:ascii="宋体" w:hAnsi="宋体" w:cs="宋体"/>
                <w:kern w:val="0"/>
                <w:sz w:val="24"/>
              </w:rPr>
              <w:t>-</w:t>
            </w:r>
            <w:r>
              <w:rPr>
                <w:rFonts w:ascii="宋体" w:hAnsi="宋体" w:cs="宋体"/>
                <w:kern w:val="0"/>
                <w:sz w:val="24"/>
              </w:rPr>
              <w:t>7</w:t>
            </w:r>
            <w:r>
              <w:rPr>
                <w:rFonts w:hint="eastAsia" w:ascii="宋体" w:hAnsi="宋体" w:cs="宋体"/>
                <w:kern w:val="0"/>
                <w:sz w:val="24"/>
              </w:rPr>
              <w:t>分；</w:t>
            </w:r>
            <w:r>
              <w:rPr>
                <w:rFonts w:hint="eastAsia" w:ascii="宋体" w:hAnsi="宋体" w:cs="宋体"/>
                <w:kern w:val="0"/>
                <w:sz w:val="24"/>
              </w:rPr>
              <w:br w:type="textWrapping"/>
            </w:r>
            <w:r>
              <w:rPr>
                <w:rFonts w:hint="eastAsia" w:ascii="宋体" w:hAnsi="宋体" w:cs="宋体"/>
                <w:kern w:val="0"/>
                <w:sz w:val="24"/>
              </w:rPr>
              <w:t>3）方案制定考虑本公司实际情况较少，对公司业务及行业理解不到位，可操作性不强，保障项目顺利完成的措施不完备，得</w:t>
            </w:r>
            <w:r>
              <w:rPr>
                <w:rFonts w:ascii="宋体" w:hAnsi="宋体" w:cs="宋体"/>
                <w:kern w:val="0"/>
                <w:sz w:val="24"/>
              </w:rPr>
              <w:t>2</w:t>
            </w:r>
            <w:r>
              <w:rPr>
                <w:rFonts w:hint="eastAsia" w:ascii="宋体" w:hAnsi="宋体" w:cs="宋体"/>
                <w:kern w:val="0"/>
                <w:sz w:val="24"/>
              </w:rPr>
              <w:t>-</w:t>
            </w:r>
            <w:r>
              <w:rPr>
                <w:rFonts w:ascii="宋体" w:hAnsi="宋体" w:cs="宋体"/>
                <w:kern w:val="0"/>
                <w:sz w:val="24"/>
              </w:rPr>
              <w:t>4</w:t>
            </w:r>
            <w:r>
              <w:rPr>
                <w:rFonts w:hint="eastAsia" w:ascii="宋体" w:hAnsi="宋体" w:cs="宋体"/>
                <w:kern w:val="0"/>
                <w:sz w:val="24"/>
              </w:rPr>
              <w:t>分。</w:t>
            </w:r>
          </w:p>
        </w:tc>
        <w:tc>
          <w:tcPr>
            <w:tcW w:w="81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ascii="宋体" w:hAnsi="宋体" w:cs="宋体"/>
                <w:kern w:val="0"/>
                <w:sz w:val="24"/>
              </w:rPr>
              <w:t>10</w:t>
            </w:r>
          </w:p>
        </w:tc>
      </w:tr>
      <w:tr>
        <w:tblPrEx>
          <w:tblLayout w:type="fixed"/>
          <w:tblCellMar>
            <w:top w:w="0" w:type="dxa"/>
            <w:left w:w="108" w:type="dxa"/>
            <w:bottom w:w="0" w:type="dxa"/>
            <w:right w:w="108" w:type="dxa"/>
          </w:tblCellMar>
        </w:tblPrEx>
        <w:trPr>
          <w:trHeight w:val="2381" w:hRule="atLeast"/>
          <w:jc w:val="center"/>
        </w:trPr>
        <w:tc>
          <w:tcPr>
            <w:tcW w:w="12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费用</w:t>
            </w:r>
          </w:p>
          <w:p>
            <w:pPr>
              <w:widowControl/>
              <w:spacing w:line="360" w:lineRule="auto"/>
              <w:jc w:val="center"/>
              <w:rPr>
                <w:rFonts w:ascii="宋体" w:hAnsi="宋体" w:cs="宋体"/>
                <w:kern w:val="0"/>
                <w:sz w:val="24"/>
              </w:rPr>
            </w:pPr>
            <w:r>
              <w:rPr>
                <w:rFonts w:hint="eastAsia" w:ascii="宋体" w:hAnsi="宋体" w:cs="宋体"/>
                <w:kern w:val="0"/>
                <w:sz w:val="24"/>
              </w:rPr>
              <w:t>报价</w:t>
            </w:r>
          </w:p>
          <w:p>
            <w:pPr>
              <w:widowControl/>
              <w:spacing w:line="360" w:lineRule="auto"/>
              <w:jc w:val="center"/>
              <w:rPr>
                <w:rFonts w:ascii="宋体" w:hAnsi="宋体" w:cs="宋体"/>
                <w:kern w:val="0"/>
                <w:sz w:val="24"/>
              </w:rPr>
            </w:pPr>
            <w:r>
              <w:rPr>
                <w:rFonts w:hint="eastAsia" w:ascii="宋体" w:hAnsi="宋体" w:cs="宋体"/>
                <w:kern w:val="0"/>
                <w:sz w:val="24"/>
              </w:rPr>
              <w:t>（50分）</w:t>
            </w:r>
          </w:p>
        </w:tc>
        <w:tc>
          <w:tcPr>
            <w:tcW w:w="73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9</w:t>
            </w:r>
          </w:p>
        </w:tc>
        <w:tc>
          <w:tcPr>
            <w:tcW w:w="575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宋体" w:hAnsi="宋体" w:cs="宋体"/>
                <w:kern w:val="0"/>
                <w:sz w:val="24"/>
              </w:rPr>
            </w:pPr>
            <w:r>
              <w:rPr>
                <w:rFonts w:hint="eastAsia" w:ascii="宋体" w:hAnsi="宋体" w:cs="宋体"/>
                <w:kern w:val="0"/>
                <w:sz w:val="24"/>
              </w:rPr>
              <w:t>报价等于所有参选人平均报价的得50分，其他报价得分=50-［|（报价-平均报价）|÷平均报价×50］。本项最高得分为50分，最低得分为0分。如参选人为四家以内的（含四家），则直接合计所有参选人的报价后除以家数来计算平均报价，如参选人家数为五家以上的（含五家），则首先剔除最高和最低报价后，再予以计算平均报价。</w:t>
            </w:r>
          </w:p>
        </w:tc>
        <w:tc>
          <w:tcPr>
            <w:tcW w:w="81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50</w:t>
            </w:r>
          </w:p>
        </w:tc>
      </w:tr>
      <w:tr>
        <w:tblPrEx>
          <w:tblLayout w:type="fixed"/>
          <w:tblCellMar>
            <w:top w:w="0" w:type="dxa"/>
            <w:left w:w="108" w:type="dxa"/>
            <w:bottom w:w="0" w:type="dxa"/>
            <w:right w:w="108" w:type="dxa"/>
          </w:tblCellMar>
        </w:tblPrEx>
        <w:trPr>
          <w:trHeight w:val="615" w:hRule="atLeast"/>
          <w:jc w:val="center"/>
        </w:trPr>
        <w:tc>
          <w:tcPr>
            <w:tcW w:w="7709"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360" w:lineRule="auto"/>
              <w:jc w:val="center"/>
              <w:rPr>
                <w:rFonts w:ascii="宋体" w:hAnsi="宋体" w:cs="宋体"/>
                <w:b/>
                <w:bCs/>
                <w:kern w:val="0"/>
                <w:sz w:val="24"/>
              </w:rPr>
            </w:pPr>
            <w:r>
              <w:rPr>
                <w:rFonts w:hint="eastAsia" w:ascii="宋体" w:hAnsi="宋体" w:cs="宋体"/>
                <w:b/>
                <w:bCs/>
                <w:kern w:val="0"/>
                <w:sz w:val="24"/>
              </w:rPr>
              <w:t>合计</w:t>
            </w:r>
          </w:p>
        </w:tc>
        <w:tc>
          <w:tcPr>
            <w:tcW w:w="81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100</w:t>
            </w:r>
          </w:p>
        </w:tc>
      </w:tr>
    </w:tbl>
    <w:p>
      <w:pPr>
        <w:adjustRightInd w:val="0"/>
        <w:snapToGrid w:val="0"/>
        <w:spacing w:before="100" w:line="360" w:lineRule="auto"/>
        <w:rPr>
          <w:rFonts w:ascii="宋体" w:hAnsi="宋体"/>
          <w:b/>
          <w:sz w:val="24"/>
        </w:rPr>
      </w:pPr>
    </w:p>
    <w:p>
      <w:pPr>
        <w:adjustRightInd w:val="0"/>
        <w:snapToGrid w:val="0"/>
        <w:spacing w:before="100" w:line="360" w:lineRule="auto"/>
        <w:rPr>
          <w:rFonts w:ascii="宋体" w:hAnsi="宋体"/>
          <w:b/>
          <w:sz w:val="24"/>
        </w:rPr>
      </w:pPr>
    </w:p>
    <w:p>
      <w:pPr>
        <w:adjustRightInd w:val="0"/>
        <w:snapToGrid w:val="0"/>
        <w:spacing w:before="100" w:line="360" w:lineRule="auto"/>
        <w:rPr>
          <w:rFonts w:ascii="宋体" w:hAnsi="宋体"/>
          <w:b/>
          <w:sz w:val="24"/>
        </w:rPr>
      </w:pPr>
    </w:p>
    <w:p>
      <w:pPr>
        <w:adjustRightInd w:val="0"/>
        <w:snapToGrid w:val="0"/>
        <w:spacing w:before="100" w:line="360" w:lineRule="auto"/>
        <w:rPr>
          <w:rFonts w:ascii="宋体" w:hAnsi="宋体"/>
          <w:b/>
          <w:sz w:val="24"/>
        </w:rPr>
      </w:pPr>
    </w:p>
    <w:p>
      <w:pPr>
        <w:adjustRightInd w:val="0"/>
        <w:snapToGrid w:val="0"/>
        <w:spacing w:before="100" w:line="360" w:lineRule="auto"/>
        <w:rPr>
          <w:rFonts w:ascii="宋体" w:hAnsi="宋体"/>
          <w:b/>
          <w:sz w:val="24"/>
        </w:rPr>
      </w:pPr>
    </w:p>
    <w:p>
      <w:pPr>
        <w:adjustRightInd w:val="0"/>
        <w:snapToGrid w:val="0"/>
        <w:spacing w:before="100" w:line="360" w:lineRule="auto"/>
        <w:rPr>
          <w:rFonts w:ascii="宋体" w:hAnsi="宋体"/>
          <w:b/>
          <w:sz w:val="24"/>
        </w:rPr>
      </w:pPr>
      <w:r>
        <w:rPr>
          <w:rFonts w:hint="eastAsia" w:ascii="宋体" w:hAnsi="宋体"/>
          <w:b/>
          <w:sz w:val="24"/>
        </w:rPr>
        <w:t>附件2：</w:t>
      </w:r>
    </w:p>
    <w:p>
      <w:pPr>
        <w:adjustRightInd w:val="0"/>
        <w:snapToGrid w:val="0"/>
        <w:spacing w:before="10" w:after="156" w:afterLines="50" w:line="360" w:lineRule="auto"/>
        <w:jc w:val="center"/>
        <w:rPr>
          <w:rFonts w:ascii="宋体" w:hAnsi="宋体" w:cs="宋体"/>
          <w:b/>
          <w:sz w:val="32"/>
          <w:szCs w:val="32"/>
        </w:rPr>
      </w:pPr>
      <w:r>
        <w:rPr>
          <w:rFonts w:hint="eastAsia" w:ascii="宋体" w:hAnsi="宋体" w:cs="宋体"/>
          <w:b/>
          <w:sz w:val="32"/>
          <w:szCs w:val="32"/>
        </w:rPr>
        <w:t>评估机构提交比选文件清单及说明</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3423"/>
        <w:gridCol w:w="3312"/>
        <w:gridCol w:w="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7" w:type="dxa"/>
            <w:shd w:val="clear" w:color="auto" w:fill="E7E6E6" w:themeFill="background2"/>
          </w:tcPr>
          <w:p>
            <w:pPr>
              <w:spacing w:line="360" w:lineRule="auto"/>
              <w:jc w:val="center"/>
              <w:rPr>
                <w:rFonts w:ascii="宋体" w:hAnsi="宋体"/>
                <w:sz w:val="24"/>
              </w:rPr>
            </w:pPr>
            <w:r>
              <w:rPr>
                <w:rFonts w:hint="eastAsia" w:asciiTheme="minorEastAsia" w:hAnsiTheme="minorEastAsia" w:eastAsiaTheme="minorEastAsia" w:cstheme="minorEastAsia"/>
                <w:b/>
                <w:bCs/>
                <w:sz w:val="24"/>
              </w:rPr>
              <w:t>序号</w:t>
            </w:r>
          </w:p>
        </w:tc>
        <w:tc>
          <w:tcPr>
            <w:tcW w:w="3423" w:type="dxa"/>
            <w:shd w:val="clear" w:color="auto" w:fill="E7E6E6" w:themeFill="background2"/>
          </w:tcPr>
          <w:p>
            <w:pPr>
              <w:spacing w:line="360" w:lineRule="auto"/>
              <w:jc w:val="center"/>
              <w:rPr>
                <w:rFonts w:ascii="宋体" w:hAnsi="宋体"/>
                <w:sz w:val="24"/>
              </w:rPr>
            </w:pPr>
            <w:r>
              <w:rPr>
                <w:rFonts w:hint="eastAsia" w:asciiTheme="minorEastAsia" w:hAnsiTheme="minorEastAsia" w:eastAsiaTheme="minorEastAsia" w:cstheme="minorEastAsia"/>
                <w:b/>
                <w:bCs/>
                <w:sz w:val="24"/>
              </w:rPr>
              <w:t>文件名称</w:t>
            </w:r>
          </w:p>
        </w:tc>
        <w:tc>
          <w:tcPr>
            <w:tcW w:w="3312" w:type="dxa"/>
            <w:shd w:val="clear" w:color="auto" w:fill="E7E6E6" w:themeFill="background2"/>
          </w:tcPr>
          <w:p>
            <w:pPr>
              <w:spacing w:line="360" w:lineRule="auto"/>
              <w:jc w:val="center"/>
              <w:rPr>
                <w:rFonts w:ascii="宋体" w:hAnsi="宋体"/>
                <w:sz w:val="24"/>
              </w:rPr>
            </w:pPr>
            <w:r>
              <w:rPr>
                <w:rFonts w:hint="eastAsia" w:asciiTheme="minorEastAsia" w:hAnsiTheme="minorEastAsia" w:eastAsiaTheme="minorEastAsia" w:cstheme="minorEastAsia"/>
                <w:b/>
                <w:bCs/>
                <w:sz w:val="24"/>
              </w:rPr>
              <w:t>提交说明</w:t>
            </w:r>
          </w:p>
        </w:tc>
        <w:tc>
          <w:tcPr>
            <w:tcW w:w="950" w:type="dxa"/>
            <w:shd w:val="clear" w:color="auto" w:fill="E7E6E6" w:themeFill="background2"/>
          </w:tcPr>
          <w:p>
            <w:pPr>
              <w:spacing w:line="360" w:lineRule="auto"/>
              <w:jc w:val="center"/>
              <w:rPr>
                <w:rFonts w:ascii="宋体" w:hAnsi="宋体"/>
                <w:sz w:val="24"/>
              </w:rPr>
            </w:pPr>
            <w:r>
              <w:rPr>
                <w:rFonts w:hint="eastAsia" w:asciiTheme="minorEastAsia" w:hAnsiTheme="minorEastAsia" w:eastAsiaTheme="minorEastAsia" w:cstheme="minorEastAsia"/>
                <w:b/>
                <w:bCs/>
                <w:sz w:val="24"/>
              </w:rPr>
              <w:t>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7" w:type="dxa"/>
            <w:vAlign w:val="center"/>
          </w:tcPr>
          <w:p>
            <w:pPr>
              <w:pStyle w:val="16"/>
              <w:numPr>
                <w:ilvl w:val="0"/>
                <w:numId w:val="2"/>
              </w:numPr>
              <w:spacing w:line="360" w:lineRule="auto"/>
              <w:ind w:firstLineChars="0"/>
              <w:jc w:val="center"/>
              <w:rPr>
                <w:rFonts w:ascii="宋体" w:hAnsi="宋体"/>
                <w:sz w:val="24"/>
              </w:rPr>
            </w:pPr>
          </w:p>
        </w:tc>
        <w:tc>
          <w:tcPr>
            <w:tcW w:w="3423" w:type="dxa"/>
            <w:vAlign w:val="center"/>
          </w:tcPr>
          <w:p>
            <w:pPr>
              <w:spacing w:line="360" w:lineRule="auto"/>
              <w:rPr>
                <w:rFonts w:ascii="宋体" w:hAnsi="宋体"/>
                <w:sz w:val="24"/>
              </w:rPr>
            </w:pPr>
            <w:r>
              <w:rPr>
                <w:rFonts w:hint="eastAsia" w:asciiTheme="minorEastAsia" w:hAnsiTheme="minorEastAsia" w:eastAsiaTheme="minorEastAsia" w:cstheme="minorEastAsia"/>
                <w:sz w:val="24"/>
              </w:rPr>
              <w:t>评估机构的执业资格证明</w:t>
            </w:r>
          </w:p>
        </w:tc>
        <w:tc>
          <w:tcPr>
            <w:tcW w:w="3312" w:type="dxa"/>
          </w:tcPr>
          <w:p>
            <w:pPr>
              <w:spacing w:line="360" w:lineRule="auto"/>
              <w:rPr>
                <w:rFonts w:ascii="宋体" w:hAnsi="宋体"/>
                <w:sz w:val="24"/>
              </w:rPr>
            </w:pPr>
            <w:r>
              <w:rPr>
                <w:rFonts w:hint="eastAsia" w:asciiTheme="minorEastAsia" w:hAnsiTheme="minorEastAsia" w:eastAsiaTheme="minorEastAsia" w:cstheme="minorEastAsia"/>
                <w:sz w:val="24"/>
              </w:rPr>
              <w:t>请提供完整、有效的评估机构营业执照、机构资质复印件</w:t>
            </w:r>
          </w:p>
        </w:tc>
        <w:tc>
          <w:tcPr>
            <w:tcW w:w="950" w:type="dxa"/>
            <w:vAlign w:val="center"/>
          </w:tcPr>
          <w:p>
            <w:pPr>
              <w:spacing w:line="360" w:lineRule="auto"/>
              <w:jc w:val="center"/>
              <w:rPr>
                <w:rFonts w:ascii="宋体" w:hAnsi="宋体"/>
                <w:sz w:val="24"/>
              </w:rPr>
            </w:pPr>
            <w:r>
              <w:rPr>
                <w:rFonts w:hint="eastAsia" w:asciiTheme="minorEastAsia" w:hAnsiTheme="minorEastAsia" w:eastAsiaTheme="minorEastAsia" w:cstheme="minorEastAsia"/>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7" w:type="dxa"/>
            <w:vAlign w:val="center"/>
          </w:tcPr>
          <w:p>
            <w:pPr>
              <w:pStyle w:val="16"/>
              <w:numPr>
                <w:ilvl w:val="0"/>
                <w:numId w:val="2"/>
              </w:numPr>
              <w:spacing w:line="360" w:lineRule="auto"/>
              <w:ind w:firstLineChars="0"/>
              <w:jc w:val="center"/>
              <w:rPr>
                <w:rFonts w:ascii="宋体" w:hAnsi="宋体"/>
                <w:sz w:val="24"/>
              </w:rPr>
            </w:pPr>
          </w:p>
        </w:tc>
        <w:tc>
          <w:tcPr>
            <w:tcW w:w="3423" w:type="dxa"/>
            <w:vAlign w:val="center"/>
          </w:tcPr>
          <w:p>
            <w:pPr>
              <w:spacing w:line="360" w:lineRule="auto"/>
              <w:rPr>
                <w:rFonts w:ascii="宋体" w:hAnsi="宋体"/>
                <w:sz w:val="24"/>
              </w:rPr>
            </w:pPr>
            <w:r>
              <w:rPr>
                <w:rFonts w:hint="eastAsia" w:asciiTheme="minorEastAsia" w:hAnsiTheme="minorEastAsia" w:eastAsiaTheme="minorEastAsia" w:cstheme="minorEastAsia"/>
                <w:sz w:val="24"/>
              </w:rPr>
              <w:t>评估机构基本情况介绍</w:t>
            </w:r>
          </w:p>
        </w:tc>
        <w:tc>
          <w:tcPr>
            <w:tcW w:w="3312" w:type="dxa"/>
          </w:tcPr>
          <w:p>
            <w:pPr>
              <w:spacing w:line="360" w:lineRule="auto"/>
              <w:rPr>
                <w:rFonts w:ascii="宋体" w:hAnsi="宋体"/>
                <w:sz w:val="24"/>
              </w:rPr>
            </w:pPr>
            <w:r>
              <w:rPr>
                <w:rFonts w:hint="eastAsia" w:asciiTheme="minorEastAsia" w:hAnsiTheme="minorEastAsia" w:eastAsiaTheme="minorEastAsia" w:cstheme="minorEastAsia"/>
                <w:sz w:val="24"/>
              </w:rPr>
              <w:t>请提供评估机构自行制作的有关本机构的简介（需含有资产评估师人数）</w:t>
            </w:r>
          </w:p>
        </w:tc>
        <w:tc>
          <w:tcPr>
            <w:tcW w:w="950" w:type="dxa"/>
            <w:vAlign w:val="center"/>
          </w:tcPr>
          <w:p>
            <w:pPr>
              <w:spacing w:line="360" w:lineRule="auto"/>
              <w:jc w:val="center"/>
              <w:rPr>
                <w:rFonts w:ascii="宋体" w:hAnsi="宋体"/>
                <w:sz w:val="24"/>
              </w:rPr>
            </w:pPr>
            <w:r>
              <w:rPr>
                <w:rFonts w:hint="eastAsia" w:asciiTheme="minorEastAsia" w:hAnsiTheme="minorEastAsia" w:eastAsiaTheme="minorEastAsia" w:cstheme="minorEastAsia"/>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7" w:type="dxa"/>
            <w:vAlign w:val="center"/>
          </w:tcPr>
          <w:p>
            <w:pPr>
              <w:pStyle w:val="16"/>
              <w:numPr>
                <w:ilvl w:val="0"/>
                <w:numId w:val="2"/>
              </w:numPr>
              <w:spacing w:line="360" w:lineRule="auto"/>
              <w:ind w:firstLineChars="0"/>
              <w:jc w:val="center"/>
              <w:rPr>
                <w:rFonts w:ascii="宋体" w:hAnsi="宋体"/>
                <w:sz w:val="24"/>
              </w:rPr>
            </w:pPr>
          </w:p>
        </w:tc>
        <w:tc>
          <w:tcPr>
            <w:tcW w:w="3423" w:type="dxa"/>
            <w:vAlign w:val="center"/>
          </w:tcPr>
          <w:p>
            <w:pPr>
              <w:spacing w:line="360" w:lineRule="auto"/>
              <w:rPr>
                <w:rFonts w:ascii="宋体" w:hAnsi="宋体"/>
                <w:sz w:val="24"/>
              </w:rPr>
            </w:pPr>
            <w:r>
              <w:rPr>
                <w:rFonts w:hint="eastAsia" w:asciiTheme="minorEastAsia" w:hAnsiTheme="minorEastAsia" w:eastAsiaTheme="minorEastAsia" w:cstheme="minorEastAsia"/>
                <w:sz w:val="24"/>
              </w:rPr>
              <w:t>评估机构为本项目提供服务的团队成员的情况介绍</w:t>
            </w:r>
          </w:p>
        </w:tc>
        <w:tc>
          <w:tcPr>
            <w:tcW w:w="3312" w:type="dxa"/>
          </w:tcPr>
          <w:p>
            <w:pPr>
              <w:spacing w:line="360" w:lineRule="auto"/>
              <w:rPr>
                <w:rFonts w:ascii="宋体" w:hAnsi="宋体"/>
                <w:sz w:val="24"/>
              </w:rPr>
            </w:pPr>
            <w:r>
              <w:rPr>
                <w:rFonts w:hint="eastAsia" w:asciiTheme="minorEastAsia" w:hAnsiTheme="minorEastAsia" w:eastAsiaTheme="minorEastAsia" w:cstheme="minorEastAsia"/>
                <w:sz w:val="24"/>
              </w:rPr>
              <w:t>请提供评估机构为本项目配备的项目团队成员简介，并提供证明材料</w:t>
            </w:r>
          </w:p>
        </w:tc>
        <w:tc>
          <w:tcPr>
            <w:tcW w:w="950" w:type="dxa"/>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详见</w:t>
            </w:r>
          </w:p>
          <w:p>
            <w:pPr>
              <w:spacing w:line="360" w:lineRule="auto"/>
              <w:jc w:val="center"/>
              <w:rPr>
                <w:rFonts w:ascii="宋体" w:hAnsi="宋体"/>
                <w:sz w:val="24"/>
              </w:rPr>
            </w:pPr>
            <w:r>
              <w:rPr>
                <w:rFonts w:hint="eastAsia" w:asciiTheme="minorEastAsia" w:hAnsiTheme="minorEastAsia" w:eastAsiaTheme="minorEastAsia" w:cstheme="minorEastAsia"/>
                <w:sz w:val="24"/>
              </w:rPr>
              <w:t>附件3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7" w:type="dxa"/>
            <w:vAlign w:val="center"/>
          </w:tcPr>
          <w:p>
            <w:pPr>
              <w:pStyle w:val="16"/>
              <w:numPr>
                <w:ilvl w:val="0"/>
                <w:numId w:val="2"/>
              </w:numPr>
              <w:spacing w:line="360" w:lineRule="auto"/>
              <w:ind w:firstLineChars="0"/>
              <w:jc w:val="center"/>
              <w:rPr>
                <w:rFonts w:ascii="宋体" w:hAnsi="宋体"/>
                <w:sz w:val="24"/>
              </w:rPr>
            </w:pPr>
          </w:p>
        </w:tc>
        <w:tc>
          <w:tcPr>
            <w:tcW w:w="3423" w:type="dxa"/>
            <w:vAlign w:val="center"/>
          </w:tcPr>
          <w:p>
            <w:pPr>
              <w:spacing w:line="360" w:lineRule="auto"/>
              <w:rPr>
                <w:rFonts w:ascii="宋体" w:hAnsi="宋体"/>
                <w:sz w:val="24"/>
              </w:rPr>
            </w:pPr>
            <w:r>
              <w:rPr>
                <w:rFonts w:hint="eastAsia" w:asciiTheme="minorEastAsia" w:hAnsiTheme="minorEastAsia" w:eastAsiaTheme="minorEastAsia" w:cstheme="minorEastAsia"/>
                <w:sz w:val="24"/>
              </w:rPr>
              <w:t>过往业绩清单及有关证明材料</w:t>
            </w:r>
          </w:p>
        </w:tc>
        <w:tc>
          <w:tcPr>
            <w:tcW w:w="3312" w:type="dxa"/>
          </w:tcPr>
          <w:p>
            <w:pPr>
              <w:spacing w:line="360" w:lineRule="auto"/>
              <w:rPr>
                <w:rFonts w:ascii="宋体" w:hAnsi="宋体"/>
                <w:sz w:val="24"/>
              </w:rPr>
            </w:pPr>
            <w:r>
              <w:rPr>
                <w:rFonts w:hint="eastAsia" w:asciiTheme="minorEastAsia" w:hAnsiTheme="minorEastAsia" w:eastAsiaTheme="minorEastAsia" w:cstheme="minorEastAsia"/>
                <w:sz w:val="24"/>
              </w:rPr>
              <w:t>请按照比选标准，按后附格式列表说明评估机构相关业绩，并提供业绩证明材料。</w:t>
            </w:r>
          </w:p>
        </w:tc>
        <w:tc>
          <w:tcPr>
            <w:tcW w:w="950" w:type="dxa"/>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详见</w:t>
            </w:r>
          </w:p>
          <w:p>
            <w:pPr>
              <w:spacing w:line="360" w:lineRule="auto"/>
              <w:jc w:val="center"/>
              <w:rPr>
                <w:rFonts w:ascii="宋体" w:hAnsi="宋体"/>
                <w:sz w:val="24"/>
              </w:rPr>
            </w:pPr>
            <w:r>
              <w:rPr>
                <w:rFonts w:hint="eastAsia" w:asciiTheme="minorEastAsia" w:hAnsiTheme="minorEastAsia" w:eastAsiaTheme="minorEastAsia" w:cstheme="minorEastAsia"/>
                <w:sz w:val="24"/>
              </w:rPr>
              <w:t>附件4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7" w:type="dxa"/>
            <w:vAlign w:val="center"/>
          </w:tcPr>
          <w:p>
            <w:pPr>
              <w:pStyle w:val="16"/>
              <w:numPr>
                <w:ilvl w:val="0"/>
                <w:numId w:val="2"/>
              </w:numPr>
              <w:spacing w:line="360" w:lineRule="auto"/>
              <w:ind w:firstLineChars="0"/>
              <w:jc w:val="center"/>
              <w:rPr>
                <w:rFonts w:ascii="宋体" w:hAnsi="宋体"/>
                <w:sz w:val="24"/>
              </w:rPr>
            </w:pPr>
          </w:p>
        </w:tc>
        <w:tc>
          <w:tcPr>
            <w:tcW w:w="3423" w:type="dxa"/>
            <w:vAlign w:val="center"/>
          </w:tcPr>
          <w:p>
            <w:pPr>
              <w:spacing w:line="360" w:lineRule="auto"/>
              <w:rPr>
                <w:rFonts w:ascii="宋体" w:hAnsi="宋体"/>
                <w:sz w:val="24"/>
              </w:rPr>
            </w:pPr>
            <w:r>
              <w:rPr>
                <w:rFonts w:hint="eastAsia" w:asciiTheme="minorEastAsia" w:hAnsiTheme="minorEastAsia" w:eastAsiaTheme="minorEastAsia" w:cstheme="minorEastAsia"/>
                <w:sz w:val="24"/>
              </w:rPr>
              <w:t>项目工作方案</w:t>
            </w:r>
          </w:p>
        </w:tc>
        <w:tc>
          <w:tcPr>
            <w:tcW w:w="3312" w:type="dxa"/>
          </w:tcPr>
          <w:p>
            <w:pPr>
              <w:spacing w:line="360" w:lineRule="auto"/>
              <w:rPr>
                <w:rFonts w:ascii="宋体" w:hAnsi="宋体"/>
                <w:sz w:val="24"/>
              </w:rPr>
            </w:pPr>
            <w:r>
              <w:rPr>
                <w:rFonts w:hint="eastAsia" w:asciiTheme="minorEastAsia" w:hAnsiTheme="minorEastAsia" w:eastAsiaTheme="minorEastAsia" w:cstheme="minorEastAsia"/>
                <w:sz w:val="24"/>
              </w:rPr>
              <w:t>请评估机构自行制定项目工作方案。</w:t>
            </w:r>
          </w:p>
        </w:tc>
        <w:tc>
          <w:tcPr>
            <w:tcW w:w="950" w:type="dxa"/>
            <w:vAlign w:val="center"/>
          </w:tcPr>
          <w:p>
            <w:pPr>
              <w:spacing w:line="360" w:lineRule="auto"/>
              <w:jc w:val="center"/>
              <w:rPr>
                <w:rFonts w:ascii="宋体" w:hAnsi="宋体"/>
                <w:sz w:val="24"/>
              </w:rPr>
            </w:pPr>
            <w:r>
              <w:rPr>
                <w:rFonts w:hint="eastAsia" w:asciiTheme="minorEastAsia" w:hAnsiTheme="minorEastAsia" w:eastAsiaTheme="minorEastAsia" w:cstheme="minorEastAsia"/>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7" w:type="dxa"/>
            <w:vAlign w:val="center"/>
          </w:tcPr>
          <w:p>
            <w:pPr>
              <w:pStyle w:val="16"/>
              <w:numPr>
                <w:ilvl w:val="0"/>
                <w:numId w:val="2"/>
              </w:numPr>
              <w:spacing w:line="360" w:lineRule="auto"/>
              <w:ind w:firstLineChars="0"/>
              <w:jc w:val="center"/>
              <w:rPr>
                <w:rFonts w:ascii="宋体" w:hAnsi="宋体"/>
                <w:sz w:val="24"/>
              </w:rPr>
            </w:pPr>
          </w:p>
        </w:tc>
        <w:tc>
          <w:tcPr>
            <w:tcW w:w="3423" w:type="dxa"/>
            <w:vAlign w:val="center"/>
          </w:tcPr>
          <w:p>
            <w:pPr>
              <w:spacing w:line="360" w:lineRule="auto"/>
              <w:rPr>
                <w:rFonts w:ascii="宋体" w:hAnsi="宋体"/>
                <w:sz w:val="24"/>
              </w:rPr>
            </w:pPr>
            <w:r>
              <w:rPr>
                <w:rFonts w:hint="eastAsia" w:asciiTheme="minorEastAsia" w:hAnsiTheme="minorEastAsia" w:eastAsiaTheme="minorEastAsia" w:cstheme="minorEastAsia"/>
                <w:sz w:val="24"/>
              </w:rPr>
              <w:t>资产评估费用报价单</w:t>
            </w:r>
          </w:p>
        </w:tc>
        <w:tc>
          <w:tcPr>
            <w:tcW w:w="3312" w:type="dxa"/>
          </w:tcPr>
          <w:p>
            <w:pPr>
              <w:spacing w:line="360" w:lineRule="auto"/>
              <w:rPr>
                <w:rFonts w:ascii="宋体" w:hAnsi="宋体"/>
                <w:sz w:val="24"/>
              </w:rPr>
            </w:pPr>
            <w:r>
              <w:rPr>
                <w:rFonts w:hint="eastAsia" w:asciiTheme="minorEastAsia" w:hAnsiTheme="minorEastAsia" w:eastAsiaTheme="minorEastAsia" w:cstheme="minorEastAsia"/>
                <w:sz w:val="24"/>
              </w:rPr>
              <w:t>以文字方式说明的评估机构的报价方案及报价，具体可参见后附格式</w:t>
            </w:r>
          </w:p>
        </w:tc>
        <w:tc>
          <w:tcPr>
            <w:tcW w:w="950" w:type="dxa"/>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详见</w:t>
            </w:r>
          </w:p>
          <w:p>
            <w:pPr>
              <w:spacing w:line="360" w:lineRule="auto"/>
              <w:jc w:val="center"/>
              <w:rPr>
                <w:rFonts w:ascii="宋体" w:hAnsi="宋体"/>
                <w:sz w:val="24"/>
              </w:rPr>
            </w:pPr>
            <w:r>
              <w:rPr>
                <w:rFonts w:hint="eastAsia" w:asciiTheme="minorEastAsia" w:hAnsiTheme="minorEastAsia" w:eastAsiaTheme="minorEastAsia" w:cstheme="minorEastAsia"/>
                <w:sz w:val="24"/>
              </w:rPr>
              <w:t>附件5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7" w:type="dxa"/>
            <w:vAlign w:val="center"/>
          </w:tcPr>
          <w:p>
            <w:pPr>
              <w:pStyle w:val="16"/>
              <w:numPr>
                <w:ilvl w:val="0"/>
                <w:numId w:val="2"/>
              </w:numPr>
              <w:spacing w:line="360" w:lineRule="auto"/>
              <w:ind w:firstLineChars="0"/>
              <w:jc w:val="center"/>
              <w:rPr>
                <w:rFonts w:ascii="宋体" w:hAnsi="宋体"/>
                <w:sz w:val="24"/>
              </w:rPr>
            </w:pPr>
          </w:p>
        </w:tc>
        <w:tc>
          <w:tcPr>
            <w:tcW w:w="3423" w:type="dxa"/>
            <w:vAlign w:val="center"/>
          </w:tcPr>
          <w:p>
            <w:pPr>
              <w:spacing w:line="360" w:lineRule="auto"/>
              <w:rPr>
                <w:rFonts w:ascii="宋体" w:hAnsi="宋体"/>
                <w:sz w:val="24"/>
              </w:rPr>
            </w:pPr>
            <w:r>
              <w:rPr>
                <w:rFonts w:hint="eastAsia" w:asciiTheme="minorEastAsia" w:hAnsiTheme="minorEastAsia" w:eastAsiaTheme="minorEastAsia" w:cstheme="minorEastAsia"/>
                <w:kern w:val="0"/>
                <w:sz w:val="24"/>
              </w:rPr>
              <w:t>参与比选承诺书</w:t>
            </w:r>
          </w:p>
        </w:tc>
        <w:tc>
          <w:tcPr>
            <w:tcW w:w="3312" w:type="dxa"/>
            <w:vAlign w:val="center"/>
          </w:tcPr>
          <w:p>
            <w:pPr>
              <w:spacing w:line="360" w:lineRule="auto"/>
              <w:rPr>
                <w:rFonts w:ascii="宋体" w:hAnsi="宋体"/>
                <w:sz w:val="24"/>
              </w:rPr>
            </w:pPr>
            <w:r>
              <w:rPr>
                <w:rFonts w:hint="eastAsia" w:asciiTheme="minorEastAsia" w:hAnsiTheme="minorEastAsia" w:eastAsiaTheme="minorEastAsia" w:cstheme="minorEastAsia"/>
                <w:sz w:val="24"/>
              </w:rPr>
              <w:t>具体请见</w:t>
            </w:r>
            <w:r>
              <w:rPr>
                <w:rFonts w:hint="eastAsia" w:asciiTheme="minorEastAsia" w:hAnsiTheme="minorEastAsia" w:eastAsiaTheme="minorEastAsia" w:cstheme="minorEastAsia"/>
                <w:kern w:val="0"/>
                <w:sz w:val="24"/>
              </w:rPr>
              <w:t>参与比选承诺书</w:t>
            </w:r>
            <w:r>
              <w:rPr>
                <w:rFonts w:hint="eastAsia" w:asciiTheme="minorEastAsia" w:hAnsiTheme="minorEastAsia" w:eastAsiaTheme="minorEastAsia" w:cstheme="minorEastAsia"/>
                <w:sz w:val="24"/>
              </w:rPr>
              <w:t xml:space="preserve">格式文本 </w:t>
            </w:r>
          </w:p>
        </w:tc>
        <w:tc>
          <w:tcPr>
            <w:tcW w:w="950" w:type="dxa"/>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详见</w:t>
            </w:r>
          </w:p>
          <w:p>
            <w:pPr>
              <w:spacing w:line="360" w:lineRule="auto"/>
              <w:jc w:val="center"/>
              <w:rPr>
                <w:rFonts w:ascii="宋体" w:hAnsi="宋体"/>
                <w:sz w:val="24"/>
              </w:rPr>
            </w:pPr>
            <w:r>
              <w:rPr>
                <w:rFonts w:hint="eastAsia" w:asciiTheme="minorEastAsia" w:hAnsiTheme="minorEastAsia" w:eastAsiaTheme="minorEastAsia" w:cstheme="minorEastAsia"/>
                <w:sz w:val="24"/>
              </w:rPr>
              <w:t>附件6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7" w:type="dxa"/>
            <w:vAlign w:val="center"/>
          </w:tcPr>
          <w:p>
            <w:pPr>
              <w:pStyle w:val="16"/>
              <w:numPr>
                <w:ilvl w:val="0"/>
                <w:numId w:val="2"/>
              </w:numPr>
              <w:spacing w:line="360" w:lineRule="auto"/>
              <w:ind w:firstLineChars="0"/>
              <w:jc w:val="center"/>
              <w:rPr>
                <w:rFonts w:ascii="宋体" w:hAnsi="宋体"/>
                <w:sz w:val="24"/>
              </w:rPr>
            </w:pPr>
          </w:p>
        </w:tc>
        <w:tc>
          <w:tcPr>
            <w:tcW w:w="3423" w:type="dxa"/>
            <w:vAlign w:val="center"/>
          </w:tcPr>
          <w:p>
            <w:pPr>
              <w:spacing w:line="360" w:lineRule="auto"/>
              <w:rPr>
                <w:rFonts w:ascii="宋体" w:hAnsi="宋体"/>
                <w:sz w:val="24"/>
              </w:rPr>
            </w:pPr>
            <w:r>
              <w:rPr>
                <w:rFonts w:hint="eastAsia" w:asciiTheme="minorEastAsia" w:hAnsiTheme="minorEastAsia" w:eastAsiaTheme="minorEastAsia" w:cstheme="minorEastAsia"/>
                <w:sz w:val="24"/>
              </w:rPr>
              <w:t>授权委托书</w:t>
            </w:r>
          </w:p>
        </w:tc>
        <w:tc>
          <w:tcPr>
            <w:tcW w:w="3312" w:type="dxa"/>
          </w:tcPr>
          <w:p>
            <w:pPr>
              <w:spacing w:line="360" w:lineRule="auto"/>
              <w:rPr>
                <w:rFonts w:ascii="宋体" w:hAnsi="宋体"/>
                <w:sz w:val="24"/>
              </w:rPr>
            </w:pPr>
            <w:r>
              <w:rPr>
                <w:rFonts w:hint="eastAsia" w:asciiTheme="minorEastAsia" w:hAnsiTheme="minorEastAsia" w:eastAsiaTheme="minorEastAsia" w:cstheme="minorEastAsia"/>
                <w:sz w:val="24"/>
              </w:rPr>
              <w:t>具体请见授权委托书格式文本</w:t>
            </w:r>
            <w:r>
              <w:rPr>
                <w:rFonts w:hint="eastAsia" w:asciiTheme="minorEastAsia" w:hAnsiTheme="minorEastAsia" w:eastAsiaTheme="minorEastAsia" w:cstheme="minorEastAsia"/>
                <w:kern w:val="0"/>
                <w:sz w:val="24"/>
              </w:rPr>
              <w:t>（经办人和授权人身份复印件加盖公章）</w:t>
            </w:r>
          </w:p>
        </w:tc>
        <w:tc>
          <w:tcPr>
            <w:tcW w:w="950" w:type="dxa"/>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详见</w:t>
            </w:r>
          </w:p>
          <w:p>
            <w:pPr>
              <w:spacing w:line="360" w:lineRule="auto"/>
              <w:jc w:val="center"/>
              <w:rPr>
                <w:rFonts w:ascii="宋体" w:hAnsi="宋体"/>
                <w:sz w:val="24"/>
              </w:rPr>
            </w:pPr>
            <w:r>
              <w:rPr>
                <w:rFonts w:hint="eastAsia" w:asciiTheme="minorEastAsia" w:hAnsiTheme="minorEastAsia" w:eastAsiaTheme="minorEastAsia" w:cstheme="minorEastAsia"/>
                <w:sz w:val="24"/>
              </w:rPr>
              <w:t>附件7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7" w:type="dxa"/>
            <w:vAlign w:val="center"/>
          </w:tcPr>
          <w:p>
            <w:pPr>
              <w:pStyle w:val="16"/>
              <w:numPr>
                <w:ilvl w:val="0"/>
                <w:numId w:val="2"/>
              </w:numPr>
              <w:spacing w:line="360" w:lineRule="auto"/>
              <w:ind w:firstLineChars="0"/>
              <w:jc w:val="center"/>
              <w:rPr>
                <w:rFonts w:ascii="宋体" w:hAnsi="宋体"/>
                <w:sz w:val="24"/>
              </w:rPr>
            </w:pPr>
          </w:p>
        </w:tc>
        <w:tc>
          <w:tcPr>
            <w:tcW w:w="3423" w:type="dxa"/>
            <w:vAlign w:val="center"/>
          </w:tcPr>
          <w:p>
            <w:pPr>
              <w:spacing w:line="360" w:lineRule="auto"/>
              <w:rPr>
                <w:rFonts w:ascii="宋体" w:hAnsi="宋体"/>
                <w:sz w:val="24"/>
              </w:rPr>
            </w:pPr>
            <w:r>
              <w:rPr>
                <w:rFonts w:hint="eastAsia" w:asciiTheme="minorEastAsia" w:hAnsiTheme="minorEastAsia" w:eastAsiaTheme="minorEastAsia" w:cstheme="minorEastAsia"/>
                <w:sz w:val="24"/>
              </w:rPr>
              <w:t>评估机构认为对本项目有所帮助的其他相关材料</w:t>
            </w:r>
          </w:p>
        </w:tc>
        <w:tc>
          <w:tcPr>
            <w:tcW w:w="3312" w:type="dxa"/>
            <w:vAlign w:val="center"/>
          </w:tcPr>
          <w:p>
            <w:pPr>
              <w:spacing w:line="360" w:lineRule="auto"/>
              <w:rPr>
                <w:rFonts w:ascii="宋体" w:hAnsi="宋体"/>
                <w:sz w:val="24"/>
              </w:rPr>
            </w:pPr>
            <w:r>
              <w:rPr>
                <w:rFonts w:hint="eastAsia" w:asciiTheme="minorEastAsia" w:hAnsiTheme="minorEastAsia" w:eastAsiaTheme="minorEastAsia" w:cstheme="minorEastAsia"/>
                <w:sz w:val="24"/>
              </w:rPr>
              <w:t>评估机构认为对于其承办本项目有所帮助的其他证明材料</w:t>
            </w:r>
          </w:p>
        </w:tc>
        <w:tc>
          <w:tcPr>
            <w:tcW w:w="950" w:type="dxa"/>
            <w:vAlign w:val="center"/>
          </w:tcPr>
          <w:p>
            <w:pPr>
              <w:spacing w:line="360" w:lineRule="auto"/>
              <w:jc w:val="center"/>
              <w:rPr>
                <w:rFonts w:ascii="宋体" w:hAnsi="宋体"/>
                <w:sz w:val="24"/>
              </w:rPr>
            </w:pPr>
            <w:r>
              <w:rPr>
                <w:rFonts w:hint="eastAsia" w:asciiTheme="minorEastAsia" w:hAnsiTheme="minorEastAsia" w:eastAsiaTheme="minorEastAsia" w:cstheme="minorEastAsia"/>
                <w:sz w:val="24"/>
              </w:rPr>
              <w:t>无</w:t>
            </w:r>
          </w:p>
        </w:tc>
      </w:tr>
    </w:tbl>
    <w:p>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（注：以上比选文件，均需加盖评估机构公章。）</w:t>
      </w:r>
    </w:p>
    <w:p>
      <w:pPr>
        <w:spacing w:line="360" w:lineRule="auto"/>
        <w:rPr>
          <w:rFonts w:hint="eastAsia" w:ascii="宋体" w:hAnsi="宋体"/>
          <w:b/>
          <w:sz w:val="24"/>
        </w:rPr>
      </w:pPr>
      <w:bookmarkStart w:id="0" w:name="_Toc11374"/>
      <w:bookmarkStart w:id="1" w:name="_Toc13844"/>
      <w:bookmarkStart w:id="2" w:name="_Toc9361"/>
      <w:bookmarkStart w:id="3" w:name="_Toc8244"/>
    </w:p>
    <w:p>
      <w:pPr>
        <w:spacing w:line="360" w:lineRule="auto"/>
        <w:rPr>
          <w:rFonts w:ascii="宋体" w:hAnsi="宋体"/>
          <w:b/>
          <w:szCs w:val="21"/>
        </w:rPr>
      </w:pPr>
      <w:r>
        <w:rPr>
          <w:rFonts w:hint="eastAsia" w:ascii="宋体" w:hAnsi="宋体"/>
          <w:b/>
          <w:sz w:val="24"/>
        </w:rPr>
        <w:t>附件</w:t>
      </w:r>
      <w:r>
        <w:rPr>
          <w:rFonts w:ascii="宋体" w:hAnsi="宋体"/>
          <w:b/>
          <w:sz w:val="24"/>
        </w:rPr>
        <w:t>3</w:t>
      </w:r>
      <w:r>
        <w:rPr>
          <w:rFonts w:hint="eastAsia" w:ascii="宋体" w:hAnsi="宋体"/>
          <w:b/>
          <w:sz w:val="24"/>
        </w:rPr>
        <w:t>：</w:t>
      </w:r>
      <w:bookmarkEnd w:id="0"/>
      <w:bookmarkEnd w:id="1"/>
      <w:bookmarkEnd w:id="2"/>
      <w:bookmarkEnd w:id="3"/>
    </w:p>
    <w:p>
      <w:pPr>
        <w:pStyle w:val="2"/>
        <w:spacing w:before="10" w:after="10"/>
        <w:jc w:val="center"/>
      </w:pPr>
      <w:bookmarkStart w:id="4" w:name="_Toc8072"/>
      <w:bookmarkStart w:id="5" w:name="_Toc3183"/>
      <w:bookmarkStart w:id="6" w:name="_Toc22394"/>
      <w:bookmarkStart w:id="7" w:name="_Toc9308"/>
      <w:r>
        <w:rPr>
          <w:rFonts w:hint="eastAsia" w:ascii="宋体" w:hAnsi="宋体" w:cs="宋体"/>
          <w:bCs w:val="0"/>
        </w:rPr>
        <w:t>项目组成员</w:t>
      </w:r>
      <w:bookmarkEnd w:id="4"/>
      <w:bookmarkEnd w:id="5"/>
      <w:bookmarkEnd w:id="6"/>
      <w:bookmarkEnd w:id="7"/>
      <w:r>
        <w:rPr>
          <w:rFonts w:hint="eastAsia" w:ascii="宋体" w:hAnsi="宋体" w:cs="宋体"/>
          <w:bCs w:val="0"/>
        </w:rPr>
        <w:t>清单</w:t>
      </w:r>
    </w:p>
    <w:tbl>
      <w:tblPr>
        <w:tblStyle w:val="13"/>
        <w:tblW w:w="852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77"/>
        <w:gridCol w:w="1026"/>
        <w:gridCol w:w="879"/>
        <w:gridCol w:w="960"/>
        <w:gridCol w:w="960"/>
        <w:gridCol w:w="1437"/>
        <w:gridCol w:w="1522"/>
        <w:gridCol w:w="96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91" w:hRule="atLeast"/>
          <w:jc w:val="center"/>
        </w:trPr>
        <w:tc>
          <w:tcPr>
            <w:tcW w:w="777" w:type="dxa"/>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序号</w:t>
            </w:r>
          </w:p>
        </w:tc>
        <w:tc>
          <w:tcPr>
            <w:tcW w:w="1026" w:type="dxa"/>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姓名</w:t>
            </w:r>
          </w:p>
        </w:tc>
        <w:tc>
          <w:tcPr>
            <w:tcW w:w="879" w:type="dxa"/>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性别</w:t>
            </w:r>
          </w:p>
        </w:tc>
        <w:tc>
          <w:tcPr>
            <w:tcW w:w="960" w:type="dxa"/>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学历</w:t>
            </w:r>
          </w:p>
        </w:tc>
        <w:tc>
          <w:tcPr>
            <w:tcW w:w="960" w:type="dxa"/>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专业</w:t>
            </w:r>
          </w:p>
        </w:tc>
        <w:tc>
          <w:tcPr>
            <w:tcW w:w="1437" w:type="dxa"/>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执业资格/</w:t>
            </w:r>
          </w:p>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职称</w:t>
            </w:r>
          </w:p>
        </w:tc>
        <w:tc>
          <w:tcPr>
            <w:tcW w:w="1522" w:type="dxa"/>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拟任职务</w:t>
            </w:r>
          </w:p>
        </w:tc>
        <w:tc>
          <w:tcPr>
            <w:tcW w:w="961" w:type="dxa"/>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91" w:hRule="atLeast"/>
          <w:jc w:val="center"/>
        </w:trPr>
        <w:tc>
          <w:tcPr>
            <w:tcW w:w="777" w:type="dxa"/>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1026" w:type="dxa"/>
            <w:vAlign w:val="center"/>
          </w:tcPr>
          <w:p>
            <w:pPr>
              <w:spacing w:line="360" w:lineRule="auto"/>
              <w:jc w:val="center"/>
              <w:rPr>
                <w:rFonts w:asciiTheme="minorEastAsia" w:hAnsiTheme="minorEastAsia" w:eastAsiaTheme="minorEastAsia" w:cstheme="minorEastAsia"/>
                <w:sz w:val="24"/>
              </w:rPr>
            </w:pPr>
          </w:p>
        </w:tc>
        <w:tc>
          <w:tcPr>
            <w:tcW w:w="879" w:type="dxa"/>
            <w:vAlign w:val="center"/>
          </w:tcPr>
          <w:p>
            <w:pPr>
              <w:spacing w:line="360" w:lineRule="auto"/>
              <w:jc w:val="center"/>
              <w:rPr>
                <w:rFonts w:asciiTheme="minorEastAsia" w:hAnsiTheme="minorEastAsia" w:eastAsiaTheme="minorEastAsia" w:cstheme="minorEastAsia"/>
                <w:sz w:val="24"/>
              </w:rPr>
            </w:pPr>
          </w:p>
        </w:tc>
        <w:tc>
          <w:tcPr>
            <w:tcW w:w="960" w:type="dxa"/>
            <w:vAlign w:val="center"/>
          </w:tcPr>
          <w:p>
            <w:pPr>
              <w:spacing w:line="360" w:lineRule="auto"/>
              <w:jc w:val="center"/>
              <w:rPr>
                <w:rFonts w:asciiTheme="minorEastAsia" w:hAnsiTheme="minorEastAsia" w:eastAsiaTheme="minorEastAsia" w:cstheme="minorEastAsia"/>
                <w:sz w:val="24"/>
              </w:rPr>
            </w:pPr>
          </w:p>
        </w:tc>
        <w:tc>
          <w:tcPr>
            <w:tcW w:w="960" w:type="dxa"/>
            <w:vAlign w:val="center"/>
          </w:tcPr>
          <w:p>
            <w:pPr>
              <w:spacing w:line="360" w:lineRule="auto"/>
              <w:jc w:val="center"/>
              <w:rPr>
                <w:rFonts w:asciiTheme="minorEastAsia" w:hAnsiTheme="minorEastAsia" w:eastAsiaTheme="minorEastAsia" w:cstheme="minorEastAsia"/>
                <w:sz w:val="24"/>
              </w:rPr>
            </w:pPr>
          </w:p>
        </w:tc>
        <w:tc>
          <w:tcPr>
            <w:tcW w:w="1437" w:type="dxa"/>
            <w:vAlign w:val="center"/>
          </w:tcPr>
          <w:p>
            <w:pPr>
              <w:spacing w:line="360" w:lineRule="auto"/>
              <w:jc w:val="center"/>
              <w:rPr>
                <w:rFonts w:asciiTheme="minorEastAsia" w:hAnsiTheme="minorEastAsia" w:eastAsiaTheme="minorEastAsia" w:cstheme="minorEastAsia"/>
                <w:sz w:val="24"/>
              </w:rPr>
            </w:pPr>
          </w:p>
        </w:tc>
        <w:tc>
          <w:tcPr>
            <w:tcW w:w="1522" w:type="dxa"/>
            <w:vAlign w:val="center"/>
          </w:tcPr>
          <w:p>
            <w:pPr>
              <w:spacing w:line="360" w:lineRule="auto"/>
              <w:jc w:val="center"/>
              <w:rPr>
                <w:rFonts w:asciiTheme="minorEastAsia" w:hAnsiTheme="minorEastAsia" w:eastAsiaTheme="minorEastAsia" w:cstheme="minorEastAsia"/>
                <w:sz w:val="24"/>
              </w:rPr>
            </w:pPr>
          </w:p>
        </w:tc>
        <w:tc>
          <w:tcPr>
            <w:tcW w:w="961" w:type="dxa"/>
          </w:tcPr>
          <w:p>
            <w:pPr>
              <w:spacing w:line="360" w:lineRule="auto"/>
              <w:jc w:val="center"/>
              <w:rPr>
                <w:rFonts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91" w:hRule="atLeast"/>
          <w:jc w:val="center"/>
        </w:trPr>
        <w:tc>
          <w:tcPr>
            <w:tcW w:w="777" w:type="dxa"/>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1026" w:type="dxa"/>
            <w:vAlign w:val="center"/>
          </w:tcPr>
          <w:p>
            <w:pPr>
              <w:spacing w:line="360" w:lineRule="auto"/>
              <w:jc w:val="center"/>
              <w:rPr>
                <w:rFonts w:asciiTheme="minorEastAsia" w:hAnsiTheme="minorEastAsia" w:eastAsiaTheme="minorEastAsia" w:cstheme="minorEastAsia"/>
                <w:sz w:val="24"/>
              </w:rPr>
            </w:pPr>
          </w:p>
        </w:tc>
        <w:tc>
          <w:tcPr>
            <w:tcW w:w="879" w:type="dxa"/>
            <w:vAlign w:val="center"/>
          </w:tcPr>
          <w:p>
            <w:pPr>
              <w:spacing w:line="360" w:lineRule="auto"/>
              <w:jc w:val="center"/>
              <w:rPr>
                <w:rFonts w:asciiTheme="minorEastAsia" w:hAnsiTheme="minorEastAsia" w:eastAsiaTheme="minorEastAsia" w:cstheme="minorEastAsia"/>
                <w:sz w:val="24"/>
              </w:rPr>
            </w:pPr>
          </w:p>
        </w:tc>
        <w:tc>
          <w:tcPr>
            <w:tcW w:w="960" w:type="dxa"/>
            <w:vAlign w:val="center"/>
          </w:tcPr>
          <w:p>
            <w:pPr>
              <w:spacing w:line="360" w:lineRule="auto"/>
              <w:jc w:val="center"/>
              <w:rPr>
                <w:rFonts w:asciiTheme="minorEastAsia" w:hAnsiTheme="minorEastAsia" w:eastAsiaTheme="minorEastAsia" w:cstheme="minorEastAsia"/>
                <w:sz w:val="24"/>
              </w:rPr>
            </w:pPr>
          </w:p>
        </w:tc>
        <w:tc>
          <w:tcPr>
            <w:tcW w:w="960" w:type="dxa"/>
            <w:vAlign w:val="center"/>
          </w:tcPr>
          <w:p>
            <w:pPr>
              <w:spacing w:line="360" w:lineRule="auto"/>
              <w:jc w:val="center"/>
              <w:rPr>
                <w:rFonts w:asciiTheme="minorEastAsia" w:hAnsiTheme="minorEastAsia" w:eastAsiaTheme="minorEastAsia" w:cstheme="minorEastAsia"/>
                <w:sz w:val="24"/>
              </w:rPr>
            </w:pPr>
          </w:p>
        </w:tc>
        <w:tc>
          <w:tcPr>
            <w:tcW w:w="1437" w:type="dxa"/>
            <w:vAlign w:val="center"/>
          </w:tcPr>
          <w:p>
            <w:pPr>
              <w:spacing w:line="360" w:lineRule="auto"/>
              <w:jc w:val="center"/>
              <w:rPr>
                <w:rFonts w:asciiTheme="minorEastAsia" w:hAnsiTheme="minorEastAsia" w:eastAsiaTheme="minorEastAsia" w:cstheme="minorEastAsia"/>
                <w:sz w:val="24"/>
              </w:rPr>
            </w:pPr>
          </w:p>
        </w:tc>
        <w:tc>
          <w:tcPr>
            <w:tcW w:w="1522" w:type="dxa"/>
            <w:vAlign w:val="center"/>
          </w:tcPr>
          <w:p>
            <w:pPr>
              <w:spacing w:line="360" w:lineRule="auto"/>
              <w:jc w:val="center"/>
              <w:rPr>
                <w:rFonts w:asciiTheme="minorEastAsia" w:hAnsiTheme="minorEastAsia" w:eastAsiaTheme="minorEastAsia" w:cstheme="minorEastAsia"/>
                <w:sz w:val="24"/>
              </w:rPr>
            </w:pPr>
          </w:p>
        </w:tc>
        <w:tc>
          <w:tcPr>
            <w:tcW w:w="961" w:type="dxa"/>
          </w:tcPr>
          <w:p>
            <w:pPr>
              <w:spacing w:line="360" w:lineRule="auto"/>
              <w:jc w:val="center"/>
              <w:rPr>
                <w:rFonts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91" w:hRule="atLeast"/>
          <w:jc w:val="center"/>
        </w:trPr>
        <w:tc>
          <w:tcPr>
            <w:tcW w:w="777" w:type="dxa"/>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1026" w:type="dxa"/>
            <w:vAlign w:val="center"/>
          </w:tcPr>
          <w:p>
            <w:pPr>
              <w:spacing w:line="360" w:lineRule="auto"/>
              <w:jc w:val="center"/>
              <w:rPr>
                <w:rFonts w:asciiTheme="minorEastAsia" w:hAnsiTheme="minorEastAsia" w:eastAsiaTheme="minorEastAsia" w:cstheme="minorEastAsia"/>
                <w:sz w:val="24"/>
              </w:rPr>
            </w:pPr>
          </w:p>
        </w:tc>
        <w:tc>
          <w:tcPr>
            <w:tcW w:w="879" w:type="dxa"/>
            <w:vAlign w:val="center"/>
          </w:tcPr>
          <w:p>
            <w:pPr>
              <w:spacing w:line="360" w:lineRule="auto"/>
              <w:jc w:val="center"/>
              <w:rPr>
                <w:rFonts w:asciiTheme="minorEastAsia" w:hAnsiTheme="minorEastAsia" w:eastAsiaTheme="minorEastAsia" w:cstheme="minorEastAsia"/>
                <w:sz w:val="24"/>
              </w:rPr>
            </w:pPr>
          </w:p>
        </w:tc>
        <w:tc>
          <w:tcPr>
            <w:tcW w:w="960" w:type="dxa"/>
            <w:vAlign w:val="center"/>
          </w:tcPr>
          <w:p>
            <w:pPr>
              <w:spacing w:line="360" w:lineRule="auto"/>
              <w:jc w:val="center"/>
              <w:rPr>
                <w:rFonts w:asciiTheme="minorEastAsia" w:hAnsiTheme="minorEastAsia" w:eastAsiaTheme="minorEastAsia" w:cstheme="minorEastAsia"/>
                <w:sz w:val="24"/>
              </w:rPr>
            </w:pPr>
          </w:p>
        </w:tc>
        <w:tc>
          <w:tcPr>
            <w:tcW w:w="960" w:type="dxa"/>
            <w:vAlign w:val="center"/>
          </w:tcPr>
          <w:p>
            <w:pPr>
              <w:spacing w:line="360" w:lineRule="auto"/>
              <w:jc w:val="center"/>
              <w:rPr>
                <w:rFonts w:asciiTheme="minorEastAsia" w:hAnsiTheme="minorEastAsia" w:eastAsiaTheme="minorEastAsia" w:cstheme="minorEastAsia"/>
                <w:sz w:val="24"/>
              </w:rPr>
            </w:pPr>
          </w:p>
        </w:tc>
        <w:tc>
          <w:tcPr>
            <w:tcW w:w="1437" w:type="dxa"/>
            <w:vAlign w:val="center"/>
          </w:tcPr>
          <w:p>
            <w:pPr>
              <w:spacing w:line="360" w:lineRule="auto"/>
              <w:jc w:val="center"/>
              <w:rPr>
                <w:rFonts w:asciiTheme="minorEastAsia" w:hAnsiTheme="minorEastAsia" w:eastAsiaTheme="minorEastAsia" w:cstheme="minorEastAsia"/>
                <w:sz w:val="24"/>
              </w:rPr>
            </w:pPr>
          </w:p>
        </w:tc>
        <w:tc>
          <w:tcPr>
            <w:tcW w:w="1522" w:type="dxa"/>
            <w:vAlign w:val="center"/>
          </w:tcPr>
          <w:p>
            <w:pPr>
              <w:spacing w:line="360" w:lineRule="auto"/>
              <w:jc w:val="center"/>
              <w:rPr>
                <w:rFonts w:asciiTheme="minorEastAsia" w:hAnsiTheme="minorEastAsia" w:eastAsiaTheme="minorEastAsia" w:cstheme="minorEastAsia"/>
                <w:sz w:val="24"/>
              </w:rPr>
            </w:pPr>
          </w:p>
        </w:tc>
        <w:tc>
          <w:tcPr>
            <w:tcW w:w="961" w:type="dxa"/>
          </w:tcPr>
          <w:p>
            <w:pPr>
              <w:spacing w:line="360" w:lineRule="auto"/>
              <w:jc w:val="center"/>
              <w:rPr>
                <w:rFonts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91" w:hRule="atLeast"/>
          <w:jc w:val="center"/>
        </w:trPr>
        <w:tc>
          <w:tcPr>
            <w:tcW w:w="777" w:type="dxa"/>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1026" w:type="dxa"/>
            <w:vAlign w:val="center"/>
          </w:tcPr>
          <w:p>
            <w:pPr>
              <w:spacing w:line="360" w:lineRule="auto"/>
              <w:jc w:val="center"/>
              <w:rPr>
                <w:rFonts w:asciiTheme="minorEastAsia" w:hAnsiTheme="minorEastAsia" w:eastAsiaTheme="minorEastAsia" w:cstheme="minorEastAsia"/>
                <w:sz w:val="24"/>
              </w:rPr>
            </w:pPr>
          </w:p>
        </w:tc>
        <w:tc>
          <w:tcPr>
            <w:tcW w:w="879" w:type="dxa"/>
            <w:vAlign w:val="center"/>
          </w:tcPr>
          <w:p>
            <w:pPr>
              <w:spacing w:line="360" w:lineRule="auto"/>
              <w:jc w:val="center"/>
              <w:rPr>
                <w:rFonts w:asciiTheme="minorEastAsia" w:hAnsiTheme="minorEastAsia" w:eastAsiaTheme="minorEastAsia" w:cstheme="minorEastAsia"/>
                <w:sz w:val="24"/>
              </w:rPr>
            </w:pPr>
          </w:p>
        </w:tc>
        <w:tc>
          <w:tcPr>
            <w:tcW w:w="960" w:type="dxa"/>
            <w:vAlign w:val="center"/>
          </w:tcPr>
          <w:p>
            <w:pPr>
              <w:spacing w:line="360" w:lineRule="auto"/>
              <w:jc w:val="center"/>
              <w:rPr>
                <w:rFonts w:asciiTheme="minorEastAsia" w:hAnsiTheme="minorEastAsia" w:eastAsiaTheme="minorEastAsia" w:cstheme="minorEastAsia"/>
                <w:sz w:val="24"/>
              </w:rPr>
            </w:pPr>
          </w:p>
        </w:tc>
        <w:tc>
          <w:tcPr>
            <w:tcW w:w="960" w:type="dxa"/>
            <w:vAlign w:val="center"/>
          </w:tcPr>
          <w:p>
            <w:pPr>
              <w:spacing w:line="360" w:lineRule="auto"/>
              <w:jc w:val="center"/>
              <w:rPr>
                <w:rFonts w:asciiTheme="minorEastAsia" w:hAnsiTheme="minorEastAsia" w:eastAsiaTheme="minorEastAsia" w:cstheme="minorEastAsia"/>
                <w:sz w:val="24"/>
              </w:rPr>
            </w:pPr>
          </w:p>
        </w:tc>
        <w:tc>
          <w:tcPr>
            <w:tcW w:w="1437" w:type="dxa"/>
            <w:vAlign w:val="center"/>
          </w:tcPr>
          <w:p>
            <w:pPr>
              <w:spacing w:line="360" w:lineRule="auto"/>
              <w:jc w:val="center"/>
              <w:rPr>
                <w:rFonts w:asciiTheme="minorEastAsia" w:hAnsiTheme="minorEastAsia" w:eastAsiaTheme="minorEastAsia" w:cstheme="minorEastAsia"/>
                <w:sz w:val="24"/>
              </w:rPr>
            </w:pPr>
          </w:p>
        </w:tc>
        <w:tc>
          <w:tcPr>
            <w:tcW w:w="1522" w:type="dxa"/>
            <w:vAlign w:val="center"/>
          </w:tcPr>
          <w:p>
            <w:pPr>
              <w:spacing w:line="360" w:lineRule="auto"/>
              <w:jc w:val="center"/>
              <w:rPr>
                <w:rFonts w:asciiTheme="minorEastAsia" w:hAnsiTheme="minorEastAsia" w:eastAsiaTheme="minorEastAsia" w:cstheme="minorEastAsia"/>
                <w:sz w:val="24"/>
              </w:rPr>
            </w:pPr>
          </w:p>
        </w:tc>
        <w:tc>
          <w:tcPr>
            <w:tcW w:w="961" w:type="dxa"/>
          </w:tcPr>
          <w:p>
            <w:pPr>
              <w:spacing w:line="360" w:lineRule="auto"/>
              <w:jc w:val="center"/>
              <w:rPr>
                <w:rFonts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91" w:hRule="atLeast"/>
          <w:jc w:val="center"/>
        </w:trPr>
        <w:tc>
          <w:tcPr>
            <w:tcW w:w="777" w:type="dxa"/>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w:t>
            </w:r>
          </w:p>
        </w:tc>
        <w:tc>
          <w:tcPr>
            <w:tcW w:w="1026" w:type="dxa"/>
            <w:vAlign w:val="center"/>
          </w:tcPr>
          <w:p>
            <w:pPr>
              <w:spacing w:line="360" w:lineRule="auto"/>
              <w:jc w:val="center"/>
              <w:rPr>
                <w:rFonts w:asciiTheme="minorEastAsia" w:hAnsiTheme="minorEastAsia" w:eastAsiaTheme="minorEastAsia" w:cstheme="minorEastAsia"/>
                <w:sz w:val="24"/>
              </w:rPr>
            </w:pPr>
          </w:p>
        </w:tc>
        <w:tc>
          <w:tcPr>
            <w:tcW w:w="879" w:type="dxa"/>
            <w:vAlign w:val="center"/>
          </w:tcPr>
          <w:p>
            <w:pPr>
              <w:spacing w:line="360" w:lineRule="auto"/>
              <w:jc w:val="center"/>
              <w:rPr>
                <w:rFonts w:asciiTheme="minorEastAsia" w:hAnsiTheme="minorEastAsia" w:eastAsiaTheme="minorEastAsia" w:cstheme="minorEastAsia"/>
                <w:sz w:val="24"/>
              </w:rPr>
            </w:pPr>
          </w:p>
        </w:tc>
        <w:tc>
          <w:tcPr>
            <w:tcW w:w="960" w:type="dxa"/>
            <w:vAlign w:val="center"/>
          </w:tcPr>
          <w:p>
            <w:pPr>
              <w:spacing w:line="360" w:lineRule="auto"/>
              <w:jc w:val="center"/>
              <w:rPr>
                <w:rFonts w:asciiTheme="minorEastAsia" w:hAnsiTheme="minorEastAsia" w:eastAsiaTheme="minorEastAsia" w:cstheme="minorEastAsia"/>
                <w:sz w:val="24"/>
              </w:rPr>
            </w:pPr>
          </w:p>
        </w:tc>
        <w:tc>
          <w:tcPr>
            <w:tcW w:w="960" w:type="dxa"/>
            <w:vAlign w:val="center"/>
          </w:tcPr>
          <w:p>
            <w:pPr>
              <w:spacing w:line="360" w:lineRule="auto"/>
              <w:jc w:val="center"/>
              <w:rPr>
                <w:rFonts w:asciiTheme="minorEastAsia" w:hAnsiTheme="minorEastAsia" w:eastAsiaTheme="minorEastAsia" w:cstheme="minorEastAsia"/>
                <w:sz w:val="24"/>
              </w:rPr>
            </w:pPr>
          </w:p>
        </w:tc>
        <w:tc>
          <w:tcPr>
            <w:tcW w:w="1437" w:type="dxa"/>
            <w:vAlign w:val="center"/>
          </w:tcPr>
          <w:p>
            <w:pPr>
              <w:spacing w:line="360" w:lineRule="auto"/>
              <w:jc w:val="center"/>
              <w:rPr>
                <w:rFonts w:asciiTheme="minorEastAsia" w:hAnsiTheme="minorEastAsia" w:eastAsiaTheme="minorEastAsia" w:cstheme="minorEastAsia"/>
                <w:sz w:val="24"/>
              </w:rPr>
            </w:pPr>
          </w:p>
        </w:tc>
        <w:tc>
          <w:tcPr>
            <w:tcW w:w="1522" w:type="dxa"/>
            <w:vAlign w:val="center"/>
          </w:tcPr>
          <w:p>
            <w:pPr>
              <w:spacing w:line="360" w:lineRule="auto"/>
              <w:jc w:val="center"/>
              <w:rPr>
                <w:rFonts w:asciiTheme="minorEastAsia" w:hAnsiTheme="minorEastAsia" w:eastAsiaTheme="minorEastAsia" w:cstheme="minorEastAsia"/>
                <w:sz w:val="24"/>
              </w:rPr>
            </w:pPr>
          </w:p>
        </w:tc>
        <w:tc>
          <w:tcPr>
            <w:tcW w:w="961" w:type="dxa"/>
          </w:tcPr>
          <w:p>
            <w:pPr>
              <w:spacing w:line="360" w:lineRule="auto"/>
              <w:jc w:val="center"/>
              <w:rPr>
                <w:rFonts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91" w:hRule="atLeast"/>
          <w:jc w:val="center"/>
        </w:trPr>
        <w:tc>
          <w:tcPr>
            <w:tcW w:w="777" w:type="dxa"/>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w:t>
            </w:r>
          </w:p>
        </w:tc>
        <w:tc>
          <w:tcPr>
            <w:tcW w:w="1026" w:type="dxa"/>
            <w:vAlign w:val="center"/>
          </w:tcPr>
          <w:p>
            <w:pPr>
              <w:spacing w:line="360" w:lineRule="auto"/>
              <w:jc w:val="center"/>
              <w:rPr>
                <w:rFonts w:asciiTheme="minorEastAsia" w:hAnsiTheme="minorEastAsia" w:eastAsiaTheme="minorEastAsia" w:cstheme="minorEastAsia"/>
                <w:sz w:val="24"/>
              </w:rPr>
            </w:pPr>
          </w:p>
        </w:tc>
        <w:tc>
          <w:tcPr>
            <w:tcW w:w="879" w:type="dxa"/>
            <w:vAlign w:val="center"/>
          </w:tcPr>
          <w:p>
            <w:pPr>
              <w:spacing w:line="360" w:lineRule="auto"/>
              <w:jc w:val="center"/>
              <w:rPr>
                <w:rFonts w:asciiTheme="minorEastAsia" w:hAnsiTheme="minorEastAsia" w:eastAsiaTheme="minorEastAsia" w:cstheme="minorEastAsia"/>
                <w:sz w:val="24"/>
              </w:rPr>
            </w:pPr>
          </w:p>
        </w:tc>
        <w:tc>
          <w:tcPr>
            <w:tcW w:w="960" w:type="dxa"/>
            <w:vAlign w:val="center"/>
          </w:tcPr>
          <w:p>
            <w:pPr>
              <w:spacing w:line="360" w:lineRule="auto"/>
              <w:jc w:val="center"/>
              <w:rPr>
                <w:rFonts w:asciiTheme="minorEastAsia" w:hAnsiTheme="minorEastAsia" w:eastAsiaTheme="minorEastAsia" w:cstheme="minorEastAsia"/>
                <w:sz w:val="24"/>
              </w:rPr>
            </w:pPr>
          </w:p>
        </w:tc>
        <w:tc>
          <w:tcPr>
            <w:tcW w:w="960" w:type="dxa"/>
            <w:vAlign w:val="center"/>
          </w:tcPr>
          <w:p>
            <w:pPr>
              <w:spacing w:line="360" w:lineRule="auto"/>
              <w:jc w:val="center"/>
              <w:rPr>
                <w:rFonts w:asciiTheme="minorEastAsia" w:hAnsiTheme="minorEastAsia" w:eastAsiaTheme="minorEastAsia" w:cstheme="minorEastAsia"/>
                <w:sz w:val="24"/>
              </w:rPr>
            </w:pPr>
          </w:p>
        </w:tc>
        <w:tc>
          <w:tcPr>
            <w:tcW w:w="1437" w:type="dxa"/>
            <w:vAlign w:val="center"/>
          </w:tcPr>
          <w:p>
            <w:pPr>
              <w:spacing w:line="360" w:lineRule="auto"/>
              <w:jc w:val="center"/>
              <w:rPr>
                <w:rFonts w:asciiTheme="minorEastAsia" w:hAnsiTheme="minorEastAsia" w:eastAsiaTheme="minorEastAsia" w:cstheme="minorEastAsia"/>
                <w:sz w:val="24"/>
              </w:rPr>
            </w:pPr>
          </w:p>
        </w:tc>
        <w:tc>
          <w:tcPr>
            <w:tcW w:w="1522" w:type="dxa"/>
            <w:vAlign w:val="center"/>
          </w:tcPr>
          <w:p>
            <w:pPr>
              <w:spacing w:line="360" w:lineRule="auto"/>
              <w:jc w:val="center"/>
              <w:rPr>
                <w:rFonts w:asciiTheme="minorEastAsia" w:hAnsiTheme="minorEastAsia" w:eastAsiaTheme="minorEastAsia" w:cstheme="minorEastAsia"/>
                <w:sz w:val="24"/>
              </w:rPr>
            </w:pPr>
          </w:p>
        </w:tc>
        <w:tc>
          <w:tcPr>
            <w:tcW w:w="961" w:type="dxa"/>
          </w:tcPr>
          <w:p>
            <w:pPr>
              <w:spacing w:line="360" w:lineRule="auto"/>
              <w:jc w:val="center"/>
              <w:rPr>
                <w:rFonts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91" w:hRule="atLeast"/>
          <w:jc w:val="center"/>
        </w:trPr>
        <w:tc>
          <w:tcPr>
            <w:tcW w:w="777" w:type="dxa"/>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w:t>
            </w:r>
          </w:p>
        </w:tc>
        <w:tc>
          <w:tcPr>
            <w:tcW w:w="1026" w:type="dxa"/>
            <w:vAlign w:val="center"/>
          </w:tcPr>
          <w:p>
            <w:pPr>
              <w:spacing w:line="360" w:lineRule="auto"/>
              <w:jc w:val="center"/>
              <w:rPr>
                <w:rFonts w:asciiTheme="minorEastAsia" w:hAnsiTheme="minorEastAsia" w:eastAsiaTheme="minorEastAsia" w:cstheme="minorEastAsia"/>
                <w:sz w:val="24"/>
              </w:rPr>
            </w:pPr>
          </w:p>
        </w:tc>
        <w:tc>
          <w:tcPr>
            <w:tcW w:w="879" w:type="dxa"/>
            <w:vAlign w:val="center"/>
          </w:tcPr>
          <w:p>
            <w:pPr>
              <w:spacing w:line="360" w:lineRule="auto"/>
              <w:jc w:val="center"/>
              <w:rPr>
                <w:rFonts w:asciiTheme="minorEastAsia" w:hAnsiTheme="minorEastAsia" w:eastAsiaTheme="minorEastAsia" w:cstheme="minorEastAsia"/>
                <w:sz w:val="24"/>
              </w:rPr>
            </w:pPr>
          </w:p>
        </w:tc>
        <w:tc>
          <w:tcPr>
            <w:tcW w:w="960" w:type="dxa"/>
            <w:vAlign w:val="center"/>
          </w:tcPr>
          <w:p>
            <w:pPr>
              <w:spacing w:line="360" w:lineRule="auto"/>
              <w:jc w:val="center"/>
              <w:rPr>
                <w:rFonts w:asciiTheme="minorEastAsia" w:hAnsiTheme="minorEastAsia" w:eastAsiaTheme="minorEastAsia" w:cstheme="minorEastAsia"/>
                <w:sz w:val="24"/>
              </w:rPr>
            </w:pPr>
          </w:p>
        </w:tc>
        <w:tc>
          <w:tcPr>
            <w:tcW w:w="960" w:type="dxa"/>
            <w:vAlign w:val="center"/>
          </w:tcPr>
          <w:p>
            <w:pPr>
              <w:spacing w:line="360" w:lineRule="auto"/>
              <w:jc w:val="center"/>
              <w:rPr>
                <w:rFonts w:asciiTheme="minorEastAsia" w:hAnsiTheme="minorEastAsia" w:eastAsiaTheme="minorEastAsia" w:cstheme="minorEastAsia"/>
                <w:sz w:val="24"/>
              </w:rPr>
            </w:pPr>
          </w:p>
        </w:tc>
        <w:tc>
          <w:tcPr>
            <w:tcW w:w="1437" w:type="dxa"/>
            <w:vAlign w:val="center"/>
          </w:tcPr>
          <w:p>
            <w:pPr>
              <w:spacing w:line="360" w:lineRule="auto"/>
              <w:jc w:val="center"/>
              <w:rPr>
                <w:rFonts w:asciiTheme="minorEastAsia" w:hAnsiTheme="minorEastAsia" w:eastAsiaTheme="minorEastAsia" w:cstheme="minorEastAsia"/>
                <w:sz w:val="24"/>
              </w:rPr>
            </w:pPr>
          </w:p>
        </w:tc>
        <w:tc>
          <w:tcPr>
            <w:tcW w:w="1522" w:type="dxa"/>
            <w:vAlign w:val="center"/>
          </w:tcPr>
          <w:p>
            <w:pPr>
              <w:spacing w:line="360" w:lineRule="auto"/>
              <w:jc w:val="center"/>
              <w:rPr>
                <w:rFonts w:asciiTheme="minorEastAsia" w:hAnsiTheme="minorEastAsia" w:eastAsiaTheme="minorEastAsia" w:cstheme="minorEastAsia"/>
                <w:sz w:val="24"/>
              </w:rPr>
            </w:pPr>
          </w:p>
        </w:tc>
        <w:tc>
          <w:tcPr>
            <w:tcW w:w="961" w:type="dxa"/>
          </w:tcPr>
          <w:p>
            <w:pPr>
              <w:spacing w:line="360" w:lineRule="auto"/>
              <w:jc w:val="center"/>
              <w:rPr>
                <w:rFonts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91" w:hRule="atLeast"/>
          <w:jc w:val="center"/>
        </w:trPr>
        <w:tc>
          <w:tcPr>
            <w:tcW w:w="777" w:type="dxa"/>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1026" w:type="dxa"/>
            <w:vAlign w:val="center"/>
          </w:tcPr>
          <w:p>
            <w:pPr>
              <w:spacing w:line="360" w:lineRule="auto"/>
              <w:jc w:val="center"/>
              <w:rPr>
                <w:rFonts w:asciiTheme="minorEastAsia" w:hAnsiTheme="minorEastAsia" w:eastAsiaTheme="minorEastAsia" w:cstheme="minorEastAsia"/>
                <w:sz w:val="24"/>
              </w:rPr>
            </w:pPr>
          </w:p>
        </w:tc>
        <w:tc>
          <w:tcPr>
            <w:tcW w:w="879" w:type="dxa"/>
            <w:vAlign w:val="center"/>
          </w:tcPr>
          <w:p>
            <w:pPr>
              <w:spacing w:line="360" w:lineRule="auto"/>
              <w:jc w:val="center"/>
              <w:rPr>
                <w:rFonts w:asciiTheme="minorEastAsia" w:hAnsiTheme="minorEastAsia" w:eastAsiaTheme="minorEastAsia" w:cstheme="minorEastAsia"/>
                <w:sz w:val="24"/>
              </w:rPr>
            </w:pPr>
          </w:p>
        </w:tc>
        <w:tc>
          <w:tcPr>
            <w:tcW w:w="960" w:type="dxa"/>
            <w:vAlign w:val="center"/>
          </w:tcPr>
          <w:p>
            <w:pPr>
              <w:spacing w:line="360" w:lineRule="auto"/>
              <w:jc w:val="center"/>
              <w:rPr>
                <w:rFonts w:asciiTheme="minorEastAsia" w:hAnsiTheme="minorEastAsia" w:eastAsiaTheme="minorEastAsia" w:cstheme="minorEastAsia"/>
                <w:sz w:val="24"/>
              </w:rPr>
            </w:pPr>
          </w:p>
        </w:tc>
        <w:tc>
          <w:tcPr>
            <w:tcW w:w="960" w:type="dxa"/>
            <w:vAlign w:val="center"/>
          </w:tcPr>
          <w:p>
            <w:pPr>
              <w:spacing w:line="360" w:lineRule="auto"/>
              <w:jc w:val="center"/>
              <w:rPr>
                <w:rFonts w:asciiTheme="minorEastAsia" w:hAnsiTheme="minorEastAsia" w:eastAsiaTheme="minorEastAsia" w:cstheme="minorEastAsia"/>
                <w:sz w:val="24"/>
              </w:rPr>
            </w:pPr>
          </w:p>
        </w:tc>
        <w:tc>
          <w:tcPr>
            <w:tcW w:w="1437" w:type="dxa"/>
            <w:vAlign w:val="center"/>
          </w:tcPr>
          <w:p>
            <w:pPr>
              <w:spacing w:line="360" w:lineRule="auto"/>
              <w:jc w:val="center"/>
              <w:rPr>
                <w:rFonts w:asciiTheme="minorEastAsia" w:hAnsiTheme="minorEastAsia" w:eastAsiaTheme="minorEastAsia" w:cstheme="minorEastAsia"/>
                <w:sz w:val="24"/>
              </w:rPr>
            </w:pPr>
          </w:p>
        </w:tc>
        <w:tc>
          <w:tcPr>
            <w:tcW w:w="1522" w:type="dxa"/>
            <w:vAlign w:val="center"/>
          </w:tcPr>
          <w:p>
            <w:pPr>
              <w:spacing w:line="360" w:lineRule="auto"/>
              <w:jc w:val="center"/>
              <w:rPr>
                <w:rFonts w:asciiTheme="minorEastAsia" w:hAnsiTheme="minorEastAsia" w:eastAsiaTheme="minorEastAsia" w:cstheme="minorEastAsia"/>
                <w:sz w:val="24"/>
              </w:rPr>
            </w:pPr>
          </w:p>
        </w:tc>
        <w:tc>
          <w:tcPr>
            <w:tcW w:w="961" w:type="dxa"/>
          </w:tcPr>
          <w:p>
            <w:pPr>
              <w:spacing w:line="360" w:lineRule="auto"/>
              <w:jc w:val="center"/>
              <w:rPr>
                <w:rFonts w:asciiTheme="minorEastAsia" w:hAnsiTheme="minorEastAsia" w:eastAsiaTheme="minorEastAsia" w:cstheme="minorEastAsia"/>
                <w:sz w:val="24"/>
              </w:rPr>
            </w:pPr>
          </w:p>
        </w:tc>
      </w:tr>
    </w:tbl>
    <w:p>
      <w:pPr>
        <w:spacing w:line="360" w:lineRule="auto"/>
        <w:rPr>
          <w:rFonts w:ascii="仿宋_GB2312" w:eastAsia="仿宋_GB2312"/>
          <w:b/>
          <w:sz w:val="24"/>
        </w:rPr>
      </w:pPr>
    </w:p>
    <w:p>
      <w:pPr>
        <w:spacing w:line="360" w:lineRule="auto"/>
        <w:rPr>
          <w:rFonts w:ascii="仿宋_GB2312" w:eastAsia="仿宋_GB2312"/>
          <w:b/>
          <w:sz w:val="24"/>
        </w:rPr>
      </w:pPr>
    </w:p>
    <w:p>
      <w:pPr>
        <w:spacing w:line="360" w:lineRule="auto"/>
        <w:rPr>
          <w:rFonts w:ascii="仿宋_GB2312" w:eastAsia="仿宋_GB2312"/>
          <w:b/>
          <w:sz w:val="24"/>
        </w:rPr>
      </w:pPr>
    </w:p>
    <w:p>
      <w:pPr>
        <w:autoSpaceDE w:val="0"/>
        <w:autoSpaceDN w:val="0"/>
        <w:snapToGrid w:val="0"/>
        <w:spacing w:line="360" w:lineRule="auto"/>
        <w:ind w:firstLine="720" w:firstLineChars="300"/>
        <w:jc w:val="right"/>
        <w:rPr>
          <w:rFonts w:ascii="宋体" w:hAnsi="宋体" w:cs="宋体"/>
          <w:sz w:val="24"/>
        </w:rPr>
      </w:pPr>
      <w:r>
        <w:rPr>
          <w:rFonts w:hint="eastAsia" w:ascii="宋体" w:hAnsi="宋体" w:cs="宋体"/>
          <w:sz w:val="24"/>
        </w:rPr>
        <w:t>评估机构：</w:t>
      </w:r>
      <w:r>
        <w:rPr>
          <w:rFonts w:hint="eastAsia" w:ascii="宋体" w:hAnsi="宋体" w:cs="宋体"/>
          <w:sz w:val="24"/>
          <w:u w:val="single"/>
        </w:rPr>
        <w:t xml:space="preserve">                 </w:t>
      </w:r>
      <w:r>
        <w:rPr>
          <w:rFonts w:hint="eastAsia" w:ascii="宋体" w:hAnsi="宋体" w:cs="宋体"/>
          <w:spacing w:val="14"/>
          <w:sz w:val="24"/>
          <w:u w:val="single"/>
        </w:rPr>
        <w:t xml:space="preserve"> （盖章）</w:t>
      </w:r>
    </w:p>
    <w:p>
      <w:pPr>
        <w:tabs>
          <w:tab w:val="left" w:pos="900"/>
        </w:tabs>
        <w:spacing w:line="360" w:lineRule="auto"/>
        <w:jc w:val="right"/>
        <w:rPr>
          <w:rFonts w:ascii="宋体" w:hAnsi="宋体"/>
          <w:b/>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widowControl/>
        <w:spacing w:line="360" w:lineRule="auto"/>
        <w:jc w:val="left"/>
        <w:rPr>
          <w:rFonts w:ascii="宋体" w:hAnsi="宋体"/>
          <w:sz w:val="24"/>
        </w:rPr>
      </w:pPr>
      <w:r>
        <w:rPr>
          <w:rFonts w:ascii="宋体" w:hAnsi="宋体"/>
          <w:sz w:val="24"/>
        </w:rPr>
        <w:br w:type="page"/>
      </w:r>
    </w:p>
    <w:p>
      <w:pPr>
        <w:spacing w:line="360" w:lineRule="auto"/>
        <w:rPr>
          <w:rFonts w:ascii="宋体" w:hAnsi="宋体"/>
          <w:b/>
          <w:sz w:val="24"/>
        </w:rPr>
      </w:pPr>
      <w:bookmarkStart w:id="8" w:name="_Toc30433"/>
      <w:bookmarkStart w:id="9" w:name="_Toc1907"/>
      <w:bookmarkStart w:id="10" w:name="_Toc3130"/>
      <w:bookmarkStart w:id="11" w:name="_Toc12867"/>
      <w:r>
        <w:rPr>
          <w:rFonts w:hint="eastAsia" w:ascii="宋体" w:hAnsi="宋体"/>
          <w:b/>
          <w:sz w:val="24"/>
        </w:rPr>
        <w:t>附件</w:t>
      </w:r>
      <w:r>
        <w:rPr>
          <w:rFonts w:ascii="宋体" w:hAnsi="宋体"/>
          <w:b/>
          <w:sz w:val="24"/>
        </w:rPr>
        <w:t>4</w:t>
      </w:r>
      <w:r>
        <w:rPr>
          <w:rFonts w:hint="eastAsia" w:ascii="宋体" w:hAnsi="宋体"/>
          <w:b/>
          <w:sz w:val="24"/>
        </w:rPr>
        <w:t>：</w:t>
      </w:r>
      <w:bookmarkEnd w:id="8"/>
      <w:bookmarkEnd w:id="9"/>
      <w:bookmarkEnd w:id="10"/>
      <w:bookmarkEnd w:id="11"/>
    </w:p>
    <w:p>
      <w:pPr>
        <w:spacing w:line="360" w:lineRule="auto"/>
        <w:rPr>
          <w:rFonts w:ascii="宋体" w:hAnsi="宋体"/>
          <w:b/>
          <w:szCs w:val="21"/>
        </w:rPr>
      </w:pPr>
    </w:p>
    <w:p>
      <w:pPr>
        <w:pStyle w:val="2"/>
        <w:spacing w:before="120" w:after="120"/>
        <w:jc w:val="center"/>
      </w:pPr>
      <w:bookmarkStart w:id="12" w:name="_Toc32650"/>
      <w:bookmarkStart w:id="13" w:name="_Toc9216"/>
      <w:bookmarkStart w:id="14" w:name="_Toc19663"/>
      <w:bookmarkStart w:id="15" w:name="_Toc11893"/>
      <w:r>
        <w:rPr>
          <w:rFonts w:hint="eastAsia" w:ascii="宋体" w:hAnsi="宋体" w:cs="宋体"/>
          <w:bCs w:val="0"/>
        </w:rPr>
        <w:t>评估机构业绩证明材料</w:t>
      </w:r>
      <w:bookmarkEnd w:id="12"/>
      <w:bookmarkEnd w:id="13"/>
      <w:bookmarkEnd w:id="14"/>
      <w:bookmarkEnd w:id="15"/>
    </w:p>
    <w:tbl>
      <w:tblPr>
        <w:tblStyle w:val="13"/>
        <w:tblW w:w="8408"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23"/>
        <w:gridCol w:w="2575"/>
        <w:gridCol w:w="2430"/>
        <w:gridCol w:w="28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523" w:type="dxa"/>
            <w:vAlign w:val="center"/>
          </w:tcPr>
          <w:p>
            <w:pPr>
              <w:pStyle w:val="5"/>
              <w:spacing w:line="360" w:lineRule="auto"/>
              <w:jc w:val="center"/>
              <w:rPr>
                <w:sz w:val="24"/>
                <w:szCs w:val="24"/>
              </w:rPr>
            </w:pPr>
            <w:r>
              <w:rPr>
                <w:rFonts w:hint="eastAsia"/>
                <w:sz w:val="24"/>
                <w:szCs w:val="24"/>
              </w:rPr>
              <w:t>序号</w:t>
            </w:r>
          </w:p>
        </w:tc>
        <w:tc>
          <w:tcPr>
            <w:tcW w:w="2575" w:type="dxa"/>
            <w:vAlign w:val="center"/>
          </w:tcPr>
          <w:p>
            <w:pPr>
              <w:pStyle w:val="5"/>
              <w:spacing w:line="360" w:lineRule="auto"/>
              <w:jc w:val="center"/>
              <w:rPr>
                <w:sz w:val="24"/>
                <w:szCs w:val="24"/>
              </w:rPr>
            </w:pPr>
            <w:r>
              <w:rPr>
                <w:rFonts w:hint="eastAsia"/>
                <w:sz w:val="24"/>
                <w:szCs w:val="24"/>
              </w:rPr>
              <w:t>服务客户名称</w:t>
            </w:r>
          </w:p>
        </w:tc>
        <w:tc>
          <w:tcPr>
            <w:tcW w:w="2430" w:type="dxa"/>
            <w:vAlign w:val="center"/>
          </w:tcPr>
          <w:p>
            <w:pPr>
              <w:pStyle w:val="5"/>
              <w:spacing w:line="360" w:lineRule="auto"/>
              <w:jc w:val="center"/>
              <w:rPr>
                <w:sz w:val="24"/>
                <w:szCs w:val="24"/>
              </w:rPr>
            </w:pPr>
            <w:r>
              <w:rPr>
                <w:rFonts w:hint="eastAsia"/>
                <w:sz w:val="24"/>
                <w:szCs w:val="24"/>
              </w:rPr>
              <w:t>客户性质</w:t>
            </w:r>
          </w:p>
          <w:p>
            <w:pPr>
              <w:pStyle w:val="5"/>
              <w:spacing w:line="360" w:lineRule="auto"/>
              <w:jc w:val="center"/>
              <w:rPr>
                <w:sz w:val="24"/>
                <w:szCs w:val="24"/>
              </w:rPr>
            </w:pPr>
            <w:r>
              <w:rPr>
                <w:rFonts w:hint="eastAsia"/>
                <w:sz w:val="24"/>
                <w:szCs w:val="24"/>
              </w:rPr>
              <w:t>（国企/民企/其他）</w:t>
            </w:r>
          </w:p>
        </w:tc>
        <w:tc>
          <w:tcPr>
            <w:tcW w:w="2880" w:type="dxa"/>
            <w:vAlign w:val="center"/>
          </w:tcPr>
          <w:p>
            <w:pPr>
              <w:pStyle w:val="5"/>
              <w:spacing w:line="360" w:lineRule="auto"/>
              <w:jc w:val="center"/>
              <w:rPr>
                <w:sz w:val="24"/>
                <w:szCs w:val="24"/>
              </w:rPr>
            </w:pPr>
            <w:r>
              <w:rPr>
                <w:rFonts w:hint="eastAsia"/>
                <w:sz w:val="24"/>
                <w:szCs w:val="24"/>
              </w:rPr>
              <w:t>项目</w:t>
            </w:r>
          </w:p>
          <w:p>
            <w:pPr>
              <w:pStyle w:val="5"/>
              <w:spacing w:line="360" w:lineRule="auto"/>
              <w:jc w:val="center"/>
              <w:rPr>
                <w:sz w:val="24"/>
                <w:szCs w:val="24"/>
              </w:rPr>
            </w:pPr>
            <w:r>
              <w:rPr>
                <w:rFonts w:hint="eastAsia"/>
                <w:sz w:val="24"/>
                <w:szCs w:val="24"/>
              </w:rPr>
              <w:t>（混改/股改）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523" w:type="dxa"/>
            <w:vAlign w:val="center"/>
          </w:tcPr>
          <w:p>
            <w:pPr>
              <w:pStyle w:val="5"/>
              <w:spacing w:line="360" w:lineRule="auto"/>
              <w:jc w:val="center"/>
              <w:rPr>
                <w:sz w:val="24"/>
                <w:szCs w:val="24"/>
              </w:rPr>
            </w:pPr>
            <w:r>
              <w:rPr>
                <w:rFonts w:hint="eastAsia"/>
                <w:sz w:val="24"/>
                <w:szCs w:val="24"/>
              </w:rPr>
              <w:t>1</w:t>
            </w:r>
          </w:p>
        </w:tc>
        <w:tc>
          <w:tcPr>
            <w:tcW w:w="2575" w:type="dxa"/>
            <w:vAlign w:val="center"/>
          </w:tcPr>
          <w:p>
            <w:pPr>
              <w:pStyle w:val="5"/>
              <w:spacing w:line="360" w:lineRule="auto"/>
              <w:jc w:val="center"/>
              <w:rPr>
                <w:sz w:val="24"/>
                <w:szCs w:val="24"/>
              </w:rPr>
            </w:pPr>
          </w:p>
        </w:tc>
        <w:tc>
          <w:tcPr>
            <w:tcW w:w="2430" w:type="dxa"/>
            <w:vAlign w:val="center"/>
          </w:tcPr>
          <w:p>
            <w:pPr>
              <w:pStyle w:val="5"/>
              <w:spacing w:line="360" w:lineRule="auto"/>
              <w:jc w:val="center"/>
              <w:rPr>
                <w:sz w:val="24"/>
                <w:szCs w:val="24"/>
              </w:rPr>
            </w:pPr>
          </w:p>
        </w:tc>
        <w:tc>
          <w:tcPr>
            <w:tcW w:w="2880" w:type="dxa"/>
            <w:vAlign w:val="center"/>
          </w:tcPr>
          <w:p>
            <w:pPr>
              <w:pStyle w:val="5"/>
              <w:spacing w:line="360" w:lineRule="auto"/>
              <w:jc w:val="center"/>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523" w:type="dxa"/>
            <w:vAlign w:val="center"/>
          </w:tcPr>
          <w:p>
            <w:pPr>
              <w:pStyle w:val="5"/>
              <w:spacing w:line="360" w:lineRule="auto"/>
              <w:jc w:val="center"/>
              <w:rPr>
                <w:sz w:val="24"/>
                <w:szCs w:val="24"/>
              </w:rPr>
            </w:pPr>
            <w:r>
              <w:rPr>
                <w:rFonts w:hint="eastAsia"/>
                <w:sz w:val="24"/>
                <w:szCs w:val="24"/>
              </w:rPr>
              <w:t>2</w:t>
            </w:r>
          </w:p>
        </w:tc>
        <w:tc>
          <w:tcPr>
            <w:tcW w:w="2575" w:type="dxa"/>
            <w:vAlign w:val="center"/>
          </w:tcPr>
          <w:p>
            <w:pPr>
              <w:pStyle w:val="5"/>
              <w:spacing w:line="360" w:lineRule="auto"/>
              <w:jc w:val="center"/>
              <w:rPr>
                <w:sz w:val="24"/>
                <w:szCs w:val="24"/>
              </w:rPr>
            </w:pPr>
          </w:p>
        </w:tc>
        <w:tc>
          <w:tcPr>
            <w:tcW w:w="2430" w:type="dxa"/>
            <w:vAlign w:val="center"/>
          </w:tcPr>
          <w:p>
            <w:pPr>
              <w:pStyle w:val="5"/>
              <w:spacing w:line="360" w:lineRule="auto"/>
              <w:jc w:val="center"/>
              <w:rPr>
                <w:sz w:val="24"/>
                <w:szCs w:val="24"/>
              </w:rPr>
            </w:pPr>
          </w:p>
        </w:tc>
        <w:tc>
          <w:tcPr>
            <w:tcW w:w="2880" w:type="dxa"/>
            <w:vAlign w:val="center"/>
          </w:tcPr>
          <w:p>
            <w:pPr>
              <w:pStyle w:val="5"/>
              <w:spacing w:line="360" w:lineRule="auto"/>
              <w:jc w:val="center"/>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523" w:type="dxa"/>
            <w:vAlign w:val="center"/>
          </w:tcPr>
          <w:p>
            <w:pPr>
              <w:pStyle w:val="5"/>
              <w:spacing w:line="360" w:lineRule="auto"/>
              <w:jc w:val="center"/>
              <w:rPr>
                <w:sz w:val="24"/>
                <w:szCs w:val="24"/>
              </w:rPr>
            </w:pPr>
            <w:r>
              <w:rPr>
                <w:rFonts w:hint="eastAsia"/>
                <w:sz w:val="24"/>
                <w:szCs w:val="24"/>
              </w:rPr>
              <w:t>3</w:t>
            </w:r>
          </w:p>
        </w:tc>
        <w:tc>
          <w:tcPr>
            <w:tcW w:w="2575" w:type="dxa"/>
            <w:vAlign w:val="center"/>
          </w:tcPr>
          <w:p>
            <w:pPr>
              <w:pStyle w:val="5"/>
              <w:spacing w:line="360" w:lineRule="auto"/>
              <w:jc w:val="center"/>
              <w:rPr>
                <w:sz w:val="24"/>
                <w:szCs w:val="24"/>
              </w:rPr>
            </w:pPr>
          </w:p>
        </w:tc>
        <w:tc>
          <w:tcPr>
            <w:tcW w:w="2430" w:type="dxa"/>
            <w:vAlign w:val="center"/>
          </w:tcPr>
          <w:p>
            <w:pPr>
              <w:pStyle w:val="5"/>
              <w:spacing w:line="360" w:lineRule="auto"/>
              <w:jc w:val="center"/>
              <w:rPr>
                <w:sz w:val="24"/>
                <w:szCs w:val="24"/>
              </w:rPr>
            </w:pPr>
          </w:p>
        </w:tc>
        <w:tc>
          <w:tcPr>
            <w:tcW w:w="2880" w:type="dxa"/>
            <w:vAlign w:val="center"/>
          </w:tcPr>
          <w:p>
            <w:pPr>
              <w:pStyle w:val="5"/>
              <w:spacing w:line="360" w:lineRule="auto"/>
              <w:jc w:val="center"/>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523" w:type="dxa"/>
            <w:vAlign w:val="center"/>
          </w:tcPr>
          <w:p>
            <w:pPr>
              <w:pStyle w:val="5"/>
              <w:spacing w:line="360" w:lineRule="auto"/>
              <w:jc w:val="center"/>
              <w:rPr>
                <w:sz w:val="24"/>
                <w:szCs w:val="24"/>
              </w:rPr>
            </w:pPr>
            <w:r>
              <w:rPr>
                <w:rFonts w:hint="eastAsia"/>
                <w:sz w:val="24"/>
                <w:szCs w:val="24"/>
              </w:rPr>
              <w:t>4</w:t>
            </w:r>
          </w:p>
        </w:tc>
        <w:tc>
          <w:tcPr>
            <w:tcW w:w="2575" w:type="dxa"/>
            <w:vAlign w:val="center"/>
          </w:tcPr>
          <w:p>
            <w:pPr>
              <w:pStyle w:val="5"/>
              <w:spacing w:line="360" w:lineRule="auto"/>
              <w:jc w:val="center"/>
              <w:rPr>
                <w:sz w:val="24"/>
                <w:szCs w:val="24"/>
              </w:rPr>
            </w:pPr>
          </w:p>
        </w:tc>
        <w:tc>
          <w:tcPr>
            <w:tcW w:w="2430" w:type="dxa"/>
            <w:vAlign w:val="center"/>
          </w:tcPr>
          <w:p>
            <w:pPr>
              <w:pStyle w:val="5"/>
              <w:spacing w:line="360" w:lineRule="auto"/>
              <w:jc w:val="center"/>
              <w:rPr>
                <w:sz w:val="24"/>
                <w:szCs w:val="24"/>
              </w:rPr>
            </w:pPr>
          </w:p>
        </w:tc>
        <w:tc>
          <w:tcPr>
            <w:tcW w:w="2880" w:type="dxa"/>
            <w:vAlign w:val="center"/>
          </w:tcPr>
          <w:p>
            <w:pPr>
              <w:pStyle w:val="5"/>
              <w:spacing w:line="360" w:lineRule="auto"/>
              <w:jc w:val="center"/>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523" w:type="dxa"/>
            <w:vAlign w:val="center"/>
          </w:tcPr>
          <w:p>
            <w:pPr>
              <w:pStyle w:val="5"/>
              <w:spacing w:line="360" w:lineRule="auto"/>
              <w:jc w:val="center"/>
              <w:rPr>
                <w:sz w:val="24"/>
                <w:szCs w:val="24"/>
              </w:rPr>
            </w:pPr>
            <w:r>
              <w:rPr>
                <w:rFonts w:hint="eastAsia"/>
                <w:sz w:val="24"/>
                <w:szCs w:val="24"/>
              </w:rPr>
              <w:t>5</w:t>
            </w:r>
          </w:p>
        </w:tc>
        <w:tc>
          <w:tcPr>
            <w:tcW w:w="2575" w:type="dxa"/>
            <w:vAlign w:val="center"/>
          </w:tcPr>
          <w:p>
            <w:pPr>
              <w:pStyle w:val="5"/>
              <w:spacing w:line="360" w:lineRule="auto"/>
              <w:jc w:val="center"/>
              <w:rPr>
                <w:sz w:val="24"/>
                <w:szCs w:val="24"/>
              </w:rPr>
            </w:pPr>
          </w:p>
        </w:tc>
        <w:tc>
          <w:tcPr>
            <w:tcW w:w="2430" w:type="dxa"/>
            <w:vAlign w:val="center"/>
          </w:tcPr>
          <w:p>
            <w:pPr>
              <w:pStyle w:val="5"/>
              <w:spacing w:line="360" w:lineRule="auto"/>
              <w:jc w:val="center"/>
              <w:rPr>
                <w:sz w:val="24"/>
                <w:szCs w:val="24"/>
              </w:rPr>
            </w:pPr>
          </w:p>
        </w:tc>
        <w:tc>
          <w:tcPr>
            <w:tcW w:w="2880" w:type="dxa"/>
            <w:vAlign w:val="center"/>
          </w:tcPr>
          <w:p>
            <w:pPr>
              <w:pStyle w:val="5"/>
              <w:spacing w:line="360" w:lineRule="auto"/>
              <w:jc w:val="center"/>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523" w:type="dxa"/>
            <w:vAlign w:val="center"/>
          </w:tcPr>
          <w:p>
            <w:pPr>
              <w:pStyle w:val="5"/>
              <w:spacing w:line="360" w:lineRule="auto"/>
              <w:jc w:val="center"/>
              <w:rPr>
                <w:sz w:val="24"/>
                <w:szCs w:val="24"/>
              </w:rPr>
            </w:pPr>
            <w:r>
              <w:rPr>
                <w:rFonts w:hint="eastAsia"/>
                <w:sz w:val="24"/>
                <w:szCs w:val="24"/>
              </w:rPr>
              <w:t>…</w:t>
            </w:r>
          </w:p>
        </w:tc>
        <w:tc>
          <w:tcPr>
            <w:tcW w:w="2575" w:type="dxa"/>
            <w:vAlign w:val="center"/>
          </w:tcPr>
          <w:p>
            <w:pPr>
              <w:pStyle w:val="5"/>
              <w:spacing w:line="360" w:lineRule="auto"/>
              <w:jc w:val="center"/>
              <w:rPr>
                <w:sz w:val="24"/>
                <w:szCs w:val="24"/>
              </w:rPr>
            </w:pPr>
            <w:r>
              <w:rPr>
                <w:rFonts w:hint="eastAsia"/>
                <w:sz w:val="24"/>
                <w:szCs w:val="24"/>
              </w:rPr>
              <w:t>……</w:t>
            </w:r>
          </w:p>
        </w:tc>
        <w:tc>
          <w:tcPr>
            <w:tcW w:w="2430" w:type="dxa"/>
            <w:vAlign w:val="center"/>
          </w:tcPr>
          <w:p>
            <w:pPr>
              <w:pStyle w:val="5"/>
              <w:spacing w:line="360" w:lineRule="auto"/>
              <w:jc w:val="center"/>
              <w:rPr>
                <w:sz w:val="24"/>
                <w:szCs w:val="24"/>
              </w:rPr>
            </w:pPr>
            <w:r>
              <w:rPr>
                <w:rFonts w:hint="eastAsia"/>
                <w:sz w:val="24"/>
                <w:szCs w:val="24"/>
              </w:rPr>
              <w:t>……</w:t>
            </w:r>
          </w:p>
        </w:tc>
        <w:tc>
          <w:tcPr>
            <w:tcW w:w="2880" w:type="dxa"/>
            <w:vAlign w:val="center"/>
          </w:tcPr>
          <w:p>
            <w:pPr>
              <w:pStyle w:val="5"/>
              <w:spacing w:line="360" w:lineRule="auto"/>
              <w:jc w:val="center"/>
              <w:rPr>
                <w:sz w:val="24"/>
                <w:szCs w:val="24"/>
              </w:rPr>
            </w:pPr>
          </w:p>
        </w:tc>
      </w:tr>
    </w:tbl>
    <w:p>
      <w:pPr>
        <w:spacing w:line="360" w:lineRule="auto"/>
        <w:rPr>
          <w:rFonts w:ascii="宋体" w:hAnsi="宋体" w:cs="宋体"/>
          <w:kern w:val="0"/>
          <w:sz w:val="24"/>
        </w:rPr>
      </w:pPr>
      <w:r>
        <w:rPr>
          <w:rFonts w:hint="eastAsia" w:ascii="宋体" w:hAnsi="宋体"/>
          <w:b/>
          <w:spacing w:val="-2"/>
          <w:sz w:val="24"/>
        </w:rPr>
        <w:t>注：</w:t>
      </w:r>
      <w:r>
        <w:rPr>
          <w:rFonts w:hint="eastAsia" w:ascii="宋体" w:hAnsi="宋体" w:cs="宋体"/>
          <w:sz w:val="24"/>
        </w:rPr>
        <w:t>以上表格，请列示</w:t>
      </w:r>
      <w:r>
        <w:rPr>
          <w:rFonts w:hint="eastAsia" w:ascii="宋体" w:hAnsi="宋体" w:cs="宋体"/>
          <w:kern w:val="0"/>
          <w:sz w:val="24"/>
        </w:rPr>
        <w:t>比选评估机构自201</w:t>
      </w:r>
      <w:r>
        <w:rPr>
          <w:rFonts w:ascii="宋体" w:hAnsi="宋体" w:cs="宋体"/>
          <w:kern w:val="0"/>
          <w:sz w:val="24"/>
        </w:rPr>
        <w:t>7</w:t>
      </w:r>
      <w:r>
        <w:rPr>
          <w:rFonts w:hint="eastAsia" w:ascii="宋体" w:hAnsi="宋体" w:cs="宋体"/>
          <w:kern w:val="0"/>
          <w:sz w:val="24"/>
        </w:rPr>
        <w:t>年1月1日起至今承办的项目</w:t>
      </w:r>
    </w:p>
    <w:p>
      <w:pPr>
        <w:spacing w:line="360" w:lineRule="auto"/>
        <w:rPr>
          <w:rFonts w:ascii="宋体" w:hAnsi="宋体" w:cs="宋体"/>
          <w:color w:val="FF0000"/>
          <w:kern w:val="0"/>
          <w:sz w:val="24"/>
        </w:rPr>
      </w:pPr>
    </w:p>
    <w:p>
      <w:pPr>
        <w:spacing w:line="360" w:lineRule="auto"/>
        <w:rPr>
          <w:rFonts w:ascii="宋体" w:hAnsi="宋体" w:cs="宋体"/>
          <w:color w:val="FF0000"/>
          <w:kern w:val="0"/>
          <w:sz w:val="24"/>
        </w:rPr>
      </w:pPr>
    </w:p>
    <w:p>
      <w:pPr>
        <w:spacing w:line="360" w:lineRule="auto"/>
        <w:rPr>
          <w:rFonts w:ascii="仿宋_GB2312" w:eastAsia="仿宋_GB2312"/>
          <w:b/>
          <w:color w:val="0000FF"/>
          <w:sz w:val="28"/>
          <w:szCs w:val="28"/>
        </w:rPr>
      </w:pPr>
    </w:p>
    <w:p>
      <w:pPr>
        <w:pStyle w:val="10"/>
        <w:spacing w:before="0" w:beforeAutospacing="0" w:after="0" w:afterAutospacing="0" w:line="360" w:lineRule="auto"/>
        <w:rPr>
          <w:rFonts w:ascii="仿宋_GB2312" w:eastAsia="仿宋_GB2312"/>
          <w:b/>
          <w:sz w:val="28"/>
          <w:szCs w:val="28"/>
        </w:rPr>
      </w:pPr>
    </w:p>
    <w:p>
      <w:pPr>
        <w:pStyle w:val="10"/>
        <w:spacing w:before="0" w:beforeAutospacing="0" w:after="0" w:afterAutospacing="0" w:line="360" w:lineRule="auto"/>
        <w:rPr>
          <w:rFonts w:ascii="仿宋_GB2312" w:eastAsia="仿宋_GB2312"/>
          <w:b/>
          <w:sz w:val="28"/>
          <w:szCs w:val="28"/>
        </w:rPr>
      </w:pPr>
    </w:p>
    <w:p>
      <w:pPr>
        <w:pStyle w:val="10"/>
        <w:spacing w:before="0" w:beforeAutospacing="0" w:after="0" w:afterAutospacing="0" w:line="360" w:lineRule="auto"/>
        <w:rPr>
          <w:rFonts w:cs="宋体"/>
          <w:b/>
        </w:rPr>
      </w:pPr>
      <w:r>
        <w:rPr>
          <w:rFonts w:hint="eastAsia" w:cs="宋体"/>
          <w:b/>
        </w:rPr>
        <w:t>附件5</w:t>
      </w:r>
    </w:p>
    <w:p>
      <w:pPr>
        <w:pStyle w:val="10"/>
        <w:spacing w:before="156" w:beforeLines="50" w:beforeAutospacing="0" w:after="156" w:afterLines="50" w:afterAutospacing="0" w:line="360" w:lineRule="auto"/>
        <w:jc w:val="center"/>
        <w:rPr>
          <w:rFonts w:cs="宋体"/>
          <w:b/>
          <w:sz w:val="32"/>
          <w:szCs w:val="32"/>
        </w:rPr>
      </w:pPr>
      <w:r>
        <w:rPr>
          <w:rFonts w:hint="eastAsia" w:cs="宋体"/>
          <w:b/>
          <w:sz w:val="32"/>
          <w:szCs w:val="32"/>
        </w:rPr>
        <w:t>资产评估费用报价单</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center"/>
          </w:tcPr>
          <w:p>
            <w:pPr>
              <w:pStyle w:val="10"/>
              <w:spacing w:before="0" w:beforeAutospacing="0" w:after="0" w:afterAutospacing="0" w:line="360" w:lineRule="auto"/>
              <w:jc w:val="center"/>
              <w:rPr>
                <w:rFonts w:cs="宋体"/>
                <w:b/>
                <w:sz w:val="32"/>
                <w:szCs w:val="32"/>
              </w:rPr>
            </w:pPr>
            <w:r>
              <w:rPr>
                <w:rFonts w:hint="eastAsia" w:cs="宋体"/>
              </w:rPr>
              <w:t>服务项目</w:t>
            </w:r>
          </w:p>
        </w:tc>
        <w:tc>
          <w:tcPr>
            <w:tcW w:w="2841" w:type="dxa"/>
            <w:vAlign w:val="center"/>
          </w:tcPr>
          <w:p>
            <w:pPr>
              <w:pStyle w:val="10"/>
              <w:spacing w:before="0" w:beforeAutospacing="0" w:after="0" w:afterAutospacing="0" w:line="360" w:lineRule="auto"/>
              <w:jc w:val="center"/>
              <w:rPr>
                <w:rFonts w:cs="宋体"/>
                <w:b/>
                <w:sz w:val="32"/>
                <w:szCs w:val="32"/>
              </w:rPr>
            </w:pPr>
            <w:r>
              <w:rPr>
                <w:rFonts w:hint="eastAsia" w:cs="宋体"/>
              </w:rPr>
              <w:t>金额（单位：万元）</w:t>
            </w:r>
          </w:p>
        </w:tc>
        <w:tc>
          <w:tcPr>
            <w:tcW w:w="2841" w:type="dxa"/>
            <w:vAlign w:val="center"/>
          </w:tcPr>
          <w:p>
            <w:pPr>
              <w:pStyle w:val="10"/>
              <w:spacing w:before="0" w:beforeAutospacing="0" w:after="0" w:afterAutospacing="0" w:line="360" w:lineRule="auto"/>
              <w:jc w:val="center"/>
              <w:rPr>
                <w:rFonts w:cs="宋体"/>
                <w:b/>
                <w:sz w:val="32"/>
                <w:szCs w:val="32"/>
              </w:rPr>
            </w:pPr>
            <w:r>
              <w:rPr>
                <w:rFonts w:hint="eastAsia"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center"/>
          </w:tcPr>
          <w:p>
            <w:pPr>
              <w:pStyle w:val="10"/>
              <w:spacing w:before="0" w:beforeAutospacing="0" w:after="0" w:afterAutospacing="0" w:line="360" w:lineRule="auto"/>
              <w:jc w:val="center"/>
              <w:rPr>
                <w:rFonts w:cs="宋体"/>
              </w:rPr>
            </w:pPr>
            <w:r>
              <w:rPr>
                <w:rFonts w:hint="eastAsia" w:cs="宋体"/>
              </w:rPr>
              <w:t>混合所有制改革、</w:t>
            </w:r>
          </w:p>
          <w:p>
            <w:pPr>
              <w:pStyle w:val="10"/>
              <w:spacing w:before="0" w:beforeAutospacing="0" w:after="0" w:afterAutospacing="0" w:line="360" w:lineRule="auto"/>
              <w:jc w:val="center"/>
              <w:rPr>
                <w:rFonts w:cs="宋体"/>
                <w:b/>
                <w:sz w:val="32"/>
                <w:szCs w:val="32"/>
              </w:rPr>
            </w:pPr>
            <w:r>
              <w:rPr>
                <w:rFonts w:hint="eastAsia" w:cs="宋体"/>
              </w:rPr>
              <w:t>股份制改造</w:t>
            </w:r>
          </w:p>
        </w:tc>
        <w:tc>
          <w:tcPr>
            <w:tcW w:w="2841" w:type="dxa"/>
            <w:vAlign w:val="center"/>
          </w:tcPr>
          <w:p>
            <w:pPr>
              <w:pStyle w:val="10"/>
              <w:spacing w:before="0" w:beforeAutospacing="0" w:after="0" w:afterAutospacing="0" w:line="360" w:lineRule="auto"/>
              <w:rPr>
                <w:rFonts w:cs="宋体"/>
                <w:b/>
                <w:sz w:val="32"/>
                <w:szCs w:val="32"/>
              </w:rPr>
            </w:pPr>
          </w:p>
        </w:tc>
        <w:tc>
          <w:tcPr>
            <w:tcW w:w="2841" w:type="dxa"/>
            <w:vAlign w:val="center"/>
          </w:tcPr>
          <w:p>
            <w:pPr>
              <w:pStyle w:val="10"/>
              <w:spacing w:before="0" w:beforeAutospacing="0" w:after="0" w:afterAutospacing="0" w:line="360" w:lineRule="auto"/>
              <w:rPr>
                <w:rFonts w:cs="宋体"/>
              </w:rPr>
            </w:pPr>
            <w:r>
              <w:rPr>
                <w:rFonts w:hint="eastAsia" w:cs="宋体"/>
              </w:rPr>
              <w:t>增值税发票类型：</w:t>
            </w:r>
          </w:p>
          <w:p>
            <w:pPr>
              <w:pStyle w:val="10"/>
              <w:spacing w:before="0" w:after="0" w:line="360" w:lineRule="auto"/>
              <w:jc w:val="both"/>
              <w:rPr>
                <w:rFonts w:cs="宋体"/>
                <w:b/>
                <w:sz w:val="32"/>
                <w:szCs w:val="32"/>
              </w:rPr>
            </w:pPr>
            <w:r>
              <w:rPr>
                <w:rFonts w:hint="eastAsia" w:cs="宋体"/>
              </w:rPr>
              <w:t>税率：</w:t>
            </w:r>
          </w:p>
        </w:tc>
      </w:tr>
    </w:tbl>
    <w:p>
      <w:pPr>
        <w:pStyle w:val="10"/>
        <w:spacing w:before="156" w:beforeLines="50" w:beforeAutospacing="0" w:after="156" w:afterLines="50" w:afterAutospacing="0" w:line="360" w:lineRule="auto"/>
        <w:jc w:val="both"/>
        <w:rPr>
          <w:rFonts w:cs="宋体"/>
          <w:b/>
          <w:sz w:val="32"/>
          <w:szCs w:val="32"/>
        </w:rPr>
      </w:pPr>
    </w:p>
    <w:p>
      <w:pPr>
        <w:pStyle w:val="10"/>
        <w:spacing w:line="360" w:lineRule="auto"/>
        <w:rPr>
          <w:rFonts w:cs="宋体"/>
          <w:b/>
          <w:color w:val="000000"/>
          <w:sz w:val="20"/>
          <w:szCs w:val="20"/>
        </w:rPr>
      </w:pPr>
    </w:p>
    <w:p>
      <w:pPr>
        <w:spacing w:line="360" w:lineRule="auto"/>
        <w:jc w:val="left"/>
        <w:rPr>
          <w:rFonts w:ascii="宋体" w:hAnsi="宋体"/>
          <w:b/>
          <w:sz w:val="24"/>
        </w:rPr>
      </w:pPr>
      <w:r>
        <w:rPr>
          <w:rFonts w:hint="eastAsia" w:ascii="宋体" w:hAnsi="宋体"/>
          <w:b/>
          <w:sz w:val="24"/>
        </w:rPr>
        <w:t>附件</w:t>
      </w:r>
      <w:r>
        <w:rPr>
          <w:rFonts w:ascii="宋体" w:hAnsi="宋体"/>
          <w:b/>
          <w:sz w:val="24"/>
        </w:rPr>
        <w:t>6</w:t>
      </w:r>
      <w:r>
        <w:rPr>
          <w:rFonts w:hint="eastAsia" w:ascii="宋体" w:hAnsi="宋体"/>
          <w:b/>
          <w:sz w:val="24"/>
        </w:rPr>
        <w:t>：</w:t>
      </w:r>
    </w:p>
    <w:p>
      <w:pPr>
        <w:spacing w:before="156" w:beforeLines="50" w:after="156" w:afterLines="50" w:line="360" w:lineRule="auto"/>
        <w:ind w:firstLine="643" w:firstLineChars="200"/>
        <w:jc w:val="center"/>
        <w:rPr>
          <w:rFonts w:ascii="黑体" w:hAnsi="黑体" w:eastAsia="黑体"/>
          <w:b/>
          <w:color w:val="000000"/>
          <w:sz w:val="32"/>
          <w:szCs w:val="32"/>
        </w:rPr>
      </w:pPr>
      <w:r>
        <w:rPr>
          <w:rFonts w:hint="eastAsia" w:ascii="宋体" w:hAnsi="宋体" w:cs="宋体"/>
          <w:b/>
          <w:color w:val="000000"/>
          <w:sz w:val="32"/>
          <w:szCs w:val="32"/>
        </w:rPr>
        <w:t>参与比选承诺函</w:t>
      </w:r>
    </w:p>
    <w:p>
      <w:pPr>
        <w:spacing w:before="156" w:beforeLines="50" w:after="156" w:afterLines="50" w:line="360" w:lineRule="auto"/>
        <w:rPr>
          <w:rFonts w:ascii="宋体" w:hAnsi="宋体"/>
          <w:b/>
          <w:color w:val="000000"/>
          <w:sz w:val="24"/>
        </w:rPr>
      </w:pPr>
      <w:r>
        <w:rPr>
          <w:rFonts w:hint="eastAsia" w:ascii="宋体" w:hAnsi="宋体"/>
          <w:b/>
          <w:color w:val="000000"/>
          <w:sz w:val="24"/>
        </w:rPr>
        <w:t>致：福建片仔癀化妆品有限公司</w:t>
      </w:r>
    </w:p>
    <w:p>
      <w:pPr>
        <w:spacing w:line="360" w:lineRule="auto"/>
        <w:ind w:firstLine="480" w:firstLineChars="200"/>
        <w:rPr>
          <w:rFonts w:ascii="宋体" w:hAnsi="宋体"/>
          <w:color w:val="000000"/>
          <w:sz w:val="24"/>
        </w:rPr>
      </w:pPr>
      <w:r>
        <w:rPr>
          <w:rFonts w:hint="eastAsia" w:ascii="宋体" w:hAnsi="宋体"/>
          <w:color w:val="000000"/>
          <w:sz w:val="24"/>
        </w:rPr>
        <w:t>我方</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p>
    <w:p>
      <w:pPr>
        <w:spacing w:line="360" w:lineRule="auto"/>
        <w:rPr>
          <w:rFonts w:ascii="宋体" w:hAnsi="宋体"/>
          <w:color w:val="000000"/>
          <w:sz w:val="24"/>
        </w:rPr>
      </w:pPr>
      <w:r>
        <w:rPr>
          <w:rFonts w:hint="eastAsia" w:ascii="宋体" w:hAnsi="宋体"/>
          <w:color w:val="000000"/>
          <w:sz w:val="24"/>
        </w:rPr>
        <w:t>（比选单位名称），在此作如下承诺：</w:t>
      </w:r>
    </w:p>
    <w:p>
      <w:pPr>
        <w:spacing w:line="360" w:lineRule="auto"/>
        <w:ind w:left="480"/>
        <w:rPr>
          <w:rFonts w:ascii="宋体" w:hAnsi="宋体"/>
          <w:color w:val="000000"/>
          <w:sz w:val="24"/>
        </w:rPr>
      </w:pPr>
      <w:r>
        <w:rPr>
          <w:rFonts w:hint="eastAsia" w:ascii="宋体" w:hAnsi="宋体"/>
          <w:color w:val="000000"/>
          <w:sz w:val="24"/>
        </w:rPr>
        <w:t>1、完全理解邀请书的一切规定和要求。</w:t>
      </w:r>
    </w:p>
    <w:p>
      <w:pPr>
        <w:spacing w:line="360" w:lineRule="auto"/>
        <w:ind w:left="480"/>
        <w:rPr>
          <w:rFonts w:ascii="宋体" w:hAnsi="宋体"/>
          <w:color w:val="000000"/>
          <w:sz w:val="24"/>
        </w:rPr>
      </w:pPr>
      <w:r>
        <w:rPr>
          <w:rFonts w:hint="eastAsia" w:ascii="宋体" w:hAnsi="宋体"/>
          <w:color w:val="000000"/>
          <w:sz w:val="24"/>
        </w:rPr>
        <w:t>2、报价在有效期内持续有效。</w:t>
      </w:r>
    </w:p>
    <w:p>
      <w:pPr>
        <w:spacing w:line="360" w:lineRule="auto"/>
        <w:ind w:firstLine="480" w:firstLineChars="200"/>
        <w:rPr>
          <w:rFonts w:ascii="宋体" w:hAnsi="宋体"/>
          <w:color w:val="000000"/>
          <w:sz w:val="24"/>
        </w:rPr>
      </w:pPr>
      <w:r>
        <w:rPr>
          <w:rFonts w:hint="eastAsia" w:ascii="宋体" w:hAnsi="宋体"/>
          <w:color w:val="000000"/>
          <w:sz w:val="24"/>
        </w:rPr>
        <w:t>3、若中选，我方将按照公开比选文件及我方比选文件的具体规定与贵公司签定评估合同，并按合同的要求提供资产评估服务，按时保质出具《评估报告》。</w:t>
      </w:r>
    </w:p>
    <w:p>
      <w:pPr>
        <w:spacing w:line="360" w:lineRule="auto"/>
        <w:ind w:firstLine="480" w:firstLineChars="200"/>
        <w:rPr>
          <w:rFonts w:ascii="宋体" w:hAnsi="宋体"/>
          <w:color w:val="000000"/>
          <w:sz w:val="24"/>
        </w:rPr>
      </w:pPr>
      <w:r>
        <w:rPr>
          <w:rFonts w:hint="eastAsia" w:ascii="宋体" w:hAnsi="宋体"/>
          <w:color w:val="000000"/>
          <w:sz w:val="24"/>
        </w:rPr>
        <w:t>4、在整个比选过程中及结束后，未经贵单位书面同意，我方若有违规、违约行为，我方将按合同承担违约责任。</w:t>
      </w:r>
    </w:p>
    <w:p>
      <w:pPr>
        <w:spacing w:line="360" w:lineRule="auto"/>
        <w:ind w:firstLine="480" w:firstLineChars="200"/>
        <w:rPr>
          <w:rFonts w:ascii="宋体" w:hAnsi="宋体"/>
          <w:color w:val="000000"/>
          <w:sz w:val="24"/>
        </w:rPr>
      </w:pPr>
      <w:r>
        <w:rPr>
          <w:rFonts w:hint="eastAsia" w:ascii="宋体" w:hAnsi="宋体"/>
          <w:color w:val="000000"/>
          <w:sz w:val="24"/>
        </w:rPr>
        <w:t>5、在整个比选过程中及结束后，未经贵公司书面同意，我方保证不向任何第三方泄露本次比选的任何信息、资料及内容。</w:t>
      </w:r>
    </w:p>
    <w:p>
      <w:pPr>
        <w:spacing w:line="360" w:lineRule="auto"/>
        <w:ind w:firstLine="480"/>
        <w:rPr>
          <w:rFonts w:ascii="宋体" w:hAnsi="宋体"/>
          <w:color w:val="000000"/>
          <w:sz w:val="24"/>
        </w:rPr>
      </w:pPr>
      <w:r>
        <w:rPr>
          <w:rFonts w:hint="eastAsia" w:ascii="宋体" w:hAnsi="宋体"/>
          <w:color w:val="000000"/>
          <w:sz w:val="24"/>
        </w:rPr>
        <w:t>6、比选文件中所有关于比选单位资格的文件、证明、陈述均是真实的、准确的。若有违背，我方承担由此而产生的一切后果。</w:t>
      </w:r>
    </w:p>
    <w:p>
      <w:pPr>
        <w:spacing w:line="360" w:lineRule="auto"/>
        <w:ind w:firstLine="480"/>
        <w:rPr>
          <w:rFonts w:ascii="宋体" w:hAnsi="宋体"/>
          <w:color w:val="000000"/>
          <w:sz w:val="24"/>
        </w:rPr>
      </w:pPr>
      <w:r>
        <w:rPr>
          <w:rFonts w:hint="eastAsia" w:ascii="宋体" w:hAnsi="宋体"/>
          <w:color w:val="000000"/>
          <w:sz w:val="24"/>
        </w:rPr>
        <w:t>7、本参与比选文件符合国家有关监管要求。</w:t>
      </w:r>
    </w:p>
    <w:p>
      <w:pPr>
        <w:spacing w:line="360" w:lineRule="auto"/>
        <w:ind w:firstLine="480"/>
        <w:rPr>
          <w:rFonts w:ascii="宋体" w:hAnsi="宋体"/>
          <w:color w:val="000000"/>
          <w:sz w:val="24"/>
        </w:rPr>
      </w:pPr>
      <w:r>
        <w:rPr>
          <w:rFonts w:hint="eastAsia" w:ascii="宋体" w:hAnsi="宋体"/>
          <w:color w:val="000000"/>
          <w:sz w:val="24"/>
        </w:rPr>
        <w:t>8、我方对在此次参与比选过程中获取的贵公司的信息和数据负有保密义务，未经贵公司允许不得透露给第三方。</w:t>
      </w:r>
    </w:p>
    <w:p>
      <w:pPr>
        <w:spacing w:line="360" w:lineRule="auto"/>
        <w:ind w:firstLine="480"/>
        <w:rPr>
          <w:rFonts w:ascii="宋体" w:hAnsi="宋体"/>
          <w:color w:val="000000"/>
          <w:sz w:val="24"/>
        </w:rPr>
      </w:pPr>
      <w:r>
        <w:rPr>
          <w:rFonts w:hint="eastAsia" w:ascii="宋体" w:hAnsi="宋体"/>
          <w:color w:val="000000"/>
          <w:sz w:val="24"/>
        </w:rPr>
        <w:t>9、 近三年未曾受到监管部门处罚，服务对象也未曾因报告涉及的相关事项违反国家规定接受处罚。</w:t>
      </w:r>
    </w:p>
    <w:p>
      <w:pPr>
        <w:spacing w:line="360" w:lineRule="auto"/>
        <w:ind w:firstLine="480"/>
        <w:rPr>
          <w:rFonts w:ascii="宋体" w:hAnsi="宋体"/>
          <w:color w:val="000000"/>
          <w:sz w:val="24"/>
        </w:rPr>
      </w:pPr>
    </w:p>
    <w:p>
      <w:pPr>
        <w:spacing w:line="360" w:lineRule="auto"/>
        <w:ind w:firstLine="4920" w:firstLineChars="2050"/>
        <w:rPr>
          <w:rFonts w:ascii="宋体" w:hAnsi="宋体"/>
          <w:color w:val="000000"/>
          <w:sz w:val="24"/>
        </w:rPr>
      </w:pPr>
      <w:r>
        <w:rPr>
          <w:rFonts w:hint="eastAsia" w:ascii="宋体" w:hAnsi="宋体"/>
          <w:color w:val="000000"/>
          <w:sz w:val="24"/>
        </w:rPr>
        <w:t>参与比选单位：</w:t>
      </w:r>
    </w:p>
    <w:p>
      <w:pPr>
        <w:spacing w:line="360" w:lineRule="auto"/>
        <w:ind w:firstLine="4920" w:firstLineChars="2050"/>
        <w:rPr>
          <w:rFonts w:ascii="宋体" w:hAnsi="宋体"/>
          <w:color w:val="000000"/>
          <w:sz w:val="24"/>
        </w:rPr>
      </w:pPr>
      <w:r>
        <w:rPr>
          <w:rFonts w:hint="eastAsia" w:ascii="宋体" w:hAnsi="宋体"/>
          <w:color w:val="000000"/>
          <w:sz w:val="24"/>
        </w:rPr>
        <w:t>负责人或授权代表：（签字）</w:t>
      </w:r>
    </w:p>
    <w:p>
      <w:pPr>
        <w:pStyle w:val="10"/>
        <w:spacing w:before="0" w:beforeAutospacing="0" w:after="0" w:afterAutospacing="0" w:line="360" w:lineRule="auto"/>
        <w:rPr>
          <w:rFonts w:asciiTheme="minorEastAsia" w:hAnsiTheme="minorEastAsia" w:eastAsiaTheme="minorEastAsia"/>
          <w:b/>
          <w:kern w:val="2"/>
          <w:sz w:val="28"/>
          <w:szCs w:val="28"/>
        </w:rPr>
      </w:pPr>
      <w:r>
        <w:rPr>
          <w:rFonts w:hint="eastAsia"/>
          <w:color w:val="000000"/>
          <w:kern w:val="2"/>
        </w:rPr>
        <w:t xml:space="preserve">                                         日期：</w:t>
      </w:r>
      <w:bookmarkStart w:id="16" w:name="_Hlk74858598"/>
    </w:p>
    <w:bookmarkEnd w:id="16"/>
    <w:p>
      <w:pPr>
        <w:pStyle w:val="10"/>
        <w:spacing w:before="0" w:beforeAutospacing="0" w:after="0" w:afterAutospacing="0" w:line="360" w:lineRule="auto"/>
        <w:rPr>
          <w:b/>
        </w:rPr>
      </w:pPr>
    </w:p>
    <w:p>
      <w:pPr>
        <w:pStyle w:val="10"/>
        <w:spacing w:before="0" w:beforeAutospacing="0" w:after="0" w:afterAutospacing="0" w:line="360" w:lineRule="auto"/>
        <w:rPr>
          <w:b/>
        </w:rPr>
      </w:pPr>
    </w:p>
    <w:p>
      <w:pPr>
        <w:pStyle w:val="10"/>
        <w:spacing w:before="0" w:beforeAutospacing="0" w:after="0" w:afterAutospacing="0" w:line="360" w:lineRule="auto"/>
        <w:rPr>
          <w:b/>
        </w:rPr>
      </w:pPr>
    </w:p>
    <w:p>
      <w:pPr>
        <w:pStyle w:val="10"/>
        <w:spacing w:before="0" w:beforeAutospacing="0" w:after="0" w:afterAutospacing="0" w:line="360" w:lineRule="auto"/>
        <w:rPr>
          <w:b/>
        </w:rPr>
      </w:pPr>
    </w:p>
    <w:p>
      <w:pPr>
        <w:pStyle w:val="10"/>
        <w:spacing w:before="0" w:beforeAutospacing="0" w:after="0" w:afterAutospacing="0" w:line="360" w:lineRule="auto"/>
        <w:rPr>
          <w:b/>
        </w:rPr>
      </w:pPr>
      <w:r>
        <w:rPr>
          <w:rFonts w:hint="eastAsia"/>
          <w:b/>
        </w:rPr>
        <w:t>附件7</w:t>
      </w:r>
    </w:p>
    <w:p>
      <w:pPr>
        <w:pStyle w:val="10"/>
        <w:spacing w:before="156" w:beforeLines="50" w:beforeAutospacing="0" w:after="156" w:afterLines="50" w:afterAutospacing="0" w:line="360" w:lineRule="auto"/>
        <w:jc w:val="center"/>
        <w:rPr>
          <w:rFonts w:asciiTheme="minorEastAsia" w:hAnsiTheme="minorEastAsia" w:eastAsiaTheme="minorEastAsia"/>
          <w:b/>
          <w:kern w:val="2"/>
          <w:sz w:val="28"/>
          <w:szCs w:val="28"/>
        </w:rPr>
      </w:pPr>
      <w:r>
        <w:rPr>
          <w:rFonts w:hint="eastAsia" w:cs="宋体"/>
          <w:b/>
          <w:kern w:val="2"/>
          <w:sz w:val="32"/>
          <w:szCs w:val="32"/>
        </w:rPr>
        <w:t>授权委托书</w:t>
      </w:r>
    </w:p>
    <w:p>
      <w:pPr>
        <w:spacing w:before="156" w:beforeLines="50" w:after="156" w:afterLines="50" w:line="360" w:lineRule="auto"/>
        <w:rPr>
          <w:rFonts w:ascii="宋体" w:hAnsi="宋体"/>
          <w:b/>
          <w:color w:val="000000"/>
          <w:sz w:val="24"/>
        </w:rPr>
      </w:pPr>
      <w:r>
        <w:rPr>
          <w:rFonts w:hint="eastAsia" w:ascii="宋体" w:hAnsi="宋体"/>
          <w:b/>
          <w:color w:val="000000"/>
          <w:sz w:val="24"/>
        </w:rPr>
        <w:t>福建片仔癀化妆品有限公司：</w:t>
      </w:r>
    </w:p>
    <w:p>
      <w:pPr>
        <w:spacing w:line="360" w:lineRule="auto"/>
        <w:ind w:firstLine="480" w:firstLineChars="200"/>
        <w:jc w:val="left"/>
        <w:rPr>
          <w:rFonts w:cs="宋体" w:asciiTheme="minorEastAsia" w:hAnsiTheme="minorEastAsia" w:eastAsiaTheme="minorEastAsia"/>
          <w:sz w:val="24"/>
          <w:u w:val="single"/>
        </w:rPr>
      </w:pPr>
      <w:r>
        <w:rPr>
          <w:rFonts w:hint="eastAsia" w:cs="宋体" w:asciiTheme="minorEastAsia" w:hAnsiTheme="minorEastAsia" w:eastAsiaTheme="minorEastAsia"/>
          <w:sz w:val="24"/>
        </w:rPr>
        <w:t>我单位</w:t>
      </w:r>
      <w:r>
        <w:rPr>
          <w:rFonts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授权</w:t>
      </w:r>
      <w:r>
        <w:rPr>
          <w:rFonts w:cs="宋体" w:asciiTheme="minorEastAsia" w:hAnsiTheme="minorEastAsia" w:eastAsiaTheme="minorEastAsia"/>
          <w:sz w:val="24"/>
          <w:u w:val="single"/>
        </w:rPr>
        <w:t xml:space="preserve">（姓名）          </w:t>
      </w:r>
      <w:r>
        <w:rPr>
          <w:rFonts w:hint="eastAsia" w:cs="宋体" w:asciiTheme="minorEastAsia" w:hAnsiTheme="minorEastAsia" w:eastAsiaTheme="minorEastAsia"/>
          <w:sz w:val="24"/>
        </w:rPr>
        <w:t>身份证号码</w:t>
      </w:r>
      <w:r>
        <w:rPr>
          <w:rFonts w:cs="宋体" w:asciiTheme="minorEastAsia" w:hAnsiTheme="minorEastAsia" w:eastAsiaTheme="minorEastAsia"/>
          <w:sz w:val="24"/>
          <w:u w:val="single"/>
        </w:rPr>
        <w:t xml:space="preserve">   </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u w:val="single"/>
          <w:lang w:val="en-US" w:eastAsia="zh-CN"/>
        </w:rPr>
        <w:t xml:space="preserve">      </w:t>
      </w:r>
      <w:r>
        <w:rPr>
          <w:rFonts w:hint="eastAsia" w:cs="宋体" w:asciiTheme="minorEastAsia" w:hAnsiTheme="minorEastAsia" w:eastAsiaTheme="minorEastAsia"/>
          <w:sz w:val="24"/>
          <w:u w:val="single"/>
        </w:rPr>
        <w:t xml:space="preserve">   </w:t>
      </w:r>
    </w:p>
    <w:p>
      <w:pPr>
        <w:spacing w:line="360" w:lineRule="auto"/>
        <w:jc w:val="left"/>
        <w:rPr>
          <w:rFonts w:asciiTheme="minorEastAsia" w:hAnsiTheme="minorEastAsia" w:eastAsiaTheme="minorEastAsia"/>
          <w:b/>
          <w:sz w:val="24"/>
        </w:rPr>
      </w:pPr>
      <w:r>
        <w:rPr>
          <w:rFonts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联系电话</w:t>
      </w:r>
      <w:r>
        <w:rPr>
          <w:rFonts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作为我单位参与贵公司《混合所有制改革、股份制改造项目》的代理人，</w:t>
      </w:r>
      <w:r>
        <w:rPr>
          <w:rFonts w:hint="eastAsia" w:cs="宋体" w:asciiTheme="minorEastAsia" w:hAnsiTheme="minorEastAsia" w:eastAsiaTheme="minorEastAsia"/>
          <w:sz w:val="24"/>
          <w:u w:val="single"/>
        </w:rPr>
        <w:t>（姓名）</w:t>
      </w:r>
      <w:r>
        <w:rPr>
          <w:rFonts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可全权代表本单位处理比选过程的一切事宜，包括但不限于：提交参选资料、谈判、提交报价、签订合同协议等。代理人在比选过程中所签署的一切文件和处理与之有关的一切事务，本单位均予以认可并对此承担责任。代理人无转委权。特此授权。</w:t>
      </w:r>
    </w:p>
    <w:p>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本授权委托书自出具之日起生效。</w:t>
      </w:r>
    </w:p>
    <w:p>
      <w:pPr>
        <w:spacing w:line="360" w:lineRule="auto"/>
        <w:ind w:firstLine="480" w:firstLineChars="200"/>
        <w:rPr>
          <w:rFonts w:asciiTheme="minorEastAsia" w:hAnsiTheme="minorEastAsia" w:eastAsiaTheme="minorEastAsia"/>
          <w:sz w:val="24"/>
        </w:rPr>
      </w:pPr>
    </w:p>
    <w:p>
      <w:pPr>
        <w:spacing w:line="360" w:lineRule="auto"/>
        <w:rPr>
          <w:rFonts w:asciiTheme="minorEastAsia" w:hAnsiTheme="minorEastAsia" w:eastAsiaTheme="minorEastAsia"/>
          <w:b/>
          <w:bCs/>
          <w:sz w:val="24"/>
        </w:rPr>
      </w:pPr>
    </w:p>
    <w:p>
      <w:pPr>
        <w:spacing w:line="360" w:lineRule="auto"/>
        <w:rPr>
          <w:rFonts w:asciiTheme="minorEastAsia" w:hAnsiTheme="minorEastAsia" w:eastAsiaTheme="minorEastAsia"/>
          <w:b/>
          <w:bCs/>
          <w:sz w:val="24"/>
        </w:rPr>
      </w:pPr>
    </w:p>
    <w:p>
      <w:pPr>
        <w:spacing w:line="360" w:lineRule="auto"/>
        <w:ind w:firstLine="480"/>
        <w:jc w:val="center"/>
        <w:rPr>
          <w:rFonts w:cs="宋体" w:asciiTheme="minorEastAsia" w:hAnsiTheme="minorEastAsia" w:eastAsiaTheme="minorEastAsia"/>
          <w:sz w:val="24"/>
        </w:rPr>
      </w:pPr>
      <w:r>
        <w:rPr>
          <w:rFonts w:hint="eastAsia" w:cs="宋体" w:asciiTheme="minorEastAsia" w:hAnsiTheme="minorEastAsia" w:eastAsiaTheme="minorEastAsia"/>
          <w:sz w:val="24"/>
        </w:rPr>
        <w:t>授权单位（盖章）：</w:t>
      </w:r>
    </w:p>
    <w:p>
      <w:pPr>
        <w:spacing w:line="360" w:lineRule="auto"/>
        <w:jc w:val="center"/>
        <w:rPr>
          <w:rFonts w:asciiTheme="minorEastAsia" w:hAnsiTheme="minorEastAsia" w:eastAsiaTheme="minorEastAsia"/>
          <w:sz w:val="24"/>
        </w:rPr>
      </w:pPr>
    </w:p>
    <w:p>
      <w:pPr>
        <w:spacing w:line="360" w:lineRule="auto"/>
        <w:jc w:val="center"/>
        <w:rPr>
          <w:rFonts w:cs="宋体" w:asciiTheme="minorEastAsia" w:hAnsiTheme="minorEastAsia" w:eastAsiaTheme="minorEastAsia"/>
          <w:sz w:val="24"/>
        </w:rPr>
      </w:pPr>
      <w:r>
        <w:rPr>
          <w:rFonts w:cs="宋体" w:asciiTheme="minorEastAsia" w:hAnsiTheme="minorEastAsia" w:eastAsiaTheme="minorEastAsia"/>
          <w:sz w:val="24"/>
        </w:rPr>
        <w:t xml:space="preserve">   </w:t>
      </w:r>
      <w:r>
        <w:rPr>
          <w:rFonts w:hint="eastAsia" w:cs="宋体" w:asciiTheme="minorEastAsia" w:hAnsiTheme="minorEastAsia" w:eastAsiaTheme="minorEastAsia"/>
          <w:sz w:val="24"/>
        </w:rPr>
        <w:t>授权单位负责人（签字）：</w:t>
      </w:r>
    </w:p>
    <w:p>
      <w:pPr>
        <w:spacing w:line="360" w:lineRule="auto"/>
        <w:rPr>
          <w:rFonts w:asciiTheme="minorEastAsia" w:hAnsiTheme="minorEastAsia" w:eastAsiaTheme="minorEastAsia"/>
          <w:sz w:val="24"/>
        </w:rPr>
      </w:pPr>
    </w:p>
    <w:p>
      <w:pPr>
        <w:spacing w:line="360" w:lineRule="auto"/>
        <w:jc w:val="center"/>
        <w:rPr>
          <w:rFonts w:cs="宋体" w:asciiTheme="minorEastAsia" w:hAnsiTheme="minorEastAsia" w:eastAsiaTheme="minorEastAsia"/>
          <w:sz w:val="24"/>
        </w:rPr>
      </w:pPr>
      <w:r>
        <w:rPr>
          <w:rFonts w:cs="宋体" w:asciiTheme="minorEastAsia" w:hAnsiTheme="minorEastAsia" w:eastAsiaTheme="minorEastAsia"/>
          <w:sz w:val="24"/>
        </w:rPr>
        <w:t xml:space="preserve">  </w:t>
      </w:r>
      <w:r>
        <w:rPr>
          <w:rFonts w:hint="eastAsia" w:cs="宋体" w:asciiTheme="minorEastAsia" w:hAnsiTheme="minorEastAsia" w:eastAsiaTheme="minorEastAsia"/>
          <w:sz w:val="24"/>
        </w:rPr>
        <w:t>被授权人（签字）：</w:t>
      </w:r>
    </w:p>
    <w:p>
      <w:pPr>
        <w:spacing w:line="360" w:lineRule="auto"/>
        <w:rPr>
          <w:rFonts w:asciiTheme="minorEastAsia" w:hAnsiTheme="minorEastAsia" w:eastAsiaTheme="minorEastAsia"/>
          <w:sz w:val="24"/>
        </w:rPr>
      </w:pPr>
    </w:p>
    <w:p>
      <w:pPr>
        <w:spacing w:line="360" w:lineRule="auto"/>
        <w:jc w:val="left"/>
        <w:rPr>
          <w:rFonts w:cs="宋体" w:asciiTheme="minorEastAsia" w:hAnsiTheme="minorEastAsia" w:eastAsiaTheme="minorEastAsia"/>
          <w:sz w:val="24"/>
        </w:rPr>
      </w:pPr>
      <w:r>
        <w:rPr>
          <w:rFonts w:cs="宋体" w:asciiTheme="minorEastAsia" w:hAnsiTheme="minorEastAsia" w:eastAsiaTheme="minorEastAsia"/>
          <w:sz w:val="24"/>
        </w:rPr>
        <w:t xml:space="preserve">                         日期：</w:t>
      </w:r>
    </w:p>
    <w:p>
      <w:pPr>
        <w:pStyle w:val="10"/>
        <w:spacing w:before="0" w:beforeAutospacing="0" w:after="0" w:afterAutospacing="0" w:line="360" w:lineRule="auto"/>
        <w:rPr>
          <w:rFonts w:ascii="仿宋" w:hAnsi="仿宋" w:eastAsia="仿宋"/>
          <w:color w:val="000000" w:themeColor="text1"/>
          <w:sz w:val="21"/>
          <w:szCs w:val="21"/>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3394739"/>
    </w:sdtPr>
    <w:sdtContent>
      <w:p>
        <w:pPr>
          <w:pStyle w:val="8"/>
          <w:jc w:val="center"/>
        </w:pPr>
        <w:r>
          <w:fldChar w:fldCharType="begin"/>
        </w:r>
        <w:r>
          <w:instrText xml:space="preserve">PAGE   \* MERGEFORMAT</w:instrText>
        </w:r>
        <w:r>
          <w:fldChar w:fldCharType="separate"/>
        </w:r>
        <w:r>
          <w:rPr>
            <w:lang w:val="zh-CN"/>
          </w:rPr>
          <w:t>1</w:t>
        </w:r>
        <w:r>
          <w:fldChar w:fldCharType="end"/>
        </w:r>
      </w:p>
    </w:sdtContent>
  </w:sdt>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F02D32"/>
    <w:multiLevelType w:val="multilevel"/>
    <w:tmpl w:val="3BF02D32"/>
    <w:lvl w:ilvl="0" w:tentative="0">
      <w:start w:val="1"/>
      <w:numFmt w:val="decimal"/>
      <w:suff w:val="nothing"/>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3D5575D"/>
    <w:multiLevelType w:val="multilevel"/>
    <w:tmpl w:val="53D5575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F87"/>
    <w:rsid w:val="001170A3"/>
    <w:rsid w:val="001E2C8C"/>
    <w:rsid w:val="001E70D2"/>
    <w:rsid w:val="00201951"/>
    <w:rsid w:val="0020699A"/>
    <w:rsid w:val="00256E1B"/>
    <w:rsid w:val="00285BED"/>
    <w:rsid w:val="002E61C0"/>
    <w:rsid w:val="003469D1"/>
    <w:rsid w:val="0036405F"/>
    <w:rsid w:val="00383B28"/>
    <w:rsid w:val="003C19A2"/>
    <w:rsid w:val="00415F34"/>
    <w:rsid w:val="00452ADA"/>
    <w:rsid w:val="0047699F"/>
    <w:rsid w:val="004F3A7B"/>
    <w:rsid w:val="00532445"/>
    <w:rsid w:val="005F0489"/>
    <w:rsid w:val="00795AAA"/>
    <w:rsid w:val="00840D5B"/>
    <w:rsid w:val="008611F0"/>
    <w:rsid w:val="008B182F"/>
    <w:rsid w:val="008B4077"/>
    <w:rsid w:val="008D1DA2"/>
    <w:rsid w:val="008E25E4"/>
    <w:rsid w:val="00932A76"/>
    <w:rsid w:val="00A24F5B"/>
    <w:rsid w:val="00A25F81"/>
    <w:rsid w:val="00A30502"/>
    <w:rsid w:val="00BC2CBA"/>
    <w:rsid w:val="00C056CB"/>
    <w:rsid w:val="00C2177F"/>
    <w:rsid w:val="00CE5D7E"/>
    <w:rsid w:val="00DC295E"/>
    <w:rsid w:val="00DD73CF"/>
    <w:rsid w:val="00E04B3A"/>
    <w:rsid w:val="00EE3738"/>
    <w:rsid w:val="00F33CDC"/>
    <w:rsid w:val="00F60F87"/>
    <w:rsid w:val="019A55AE"/>
    <w:rsid w:val="074F0545"/>
    <w:rsid w:val="09462931"/>
    <w:rsid w:val="0A0045AB"/>
    <w:rsid w:val="0C6C1664"/>
    <w:rsid w:val="10472657"/>
    <w:rsid w:val="10804F01"/>
    <w:rsid w:val="10C53162"/>
    <w:rsid w:val="12E67CF6"/>
    <w:rsid w:val="190B75B8"/>
    <w:rsid w:val="1D1F2B42"/>
    <w:rsid w:val="1E3D2548"/>
    <w:rsid w:val="1EF254AB"/>
    <w:rsid w:val="21B17922"/>
    <w:rsid w:val="21C0367D"/>
    <w:rsid w:val="21F46A7B"/>
    <w:rsid w:val="2224724F"/>
    <w:rsid w:val="237F727D"/>
    <w:rsid w:val="24742EFB"/>
    <w:rsid w:val="25581716"/>
    <w:rsid w:val="28B139DC"/>
    <w:rsid w:val="2C9844FF"/>
    <w:rsid w:val="2CF61C38"/>
    <w:rsid w:val="2FDC3747"/>
    <w:rsid w:val="30023C01"/>
    <w:rsid w:val="30C426E2"/>
    <w:rsid w:val="3A463079"/>
    <w:rsid w:val="42D45B61"/>
    <w:rsid w:val="43053F7B"/>
    <w:rsid w:val="43B10A42"/>
    <w:rsid w:val="43CC5880"/>
    <w:rsid w:val="446B4A17"/>
    <w:rsid w:val="4B403457"/>
    <w:rsid w:val="4E3F4E3F"/>
    <w:rsid w:val="51B746C2"/>
    <w:rsid w:val="591F2F64"/>
    <w:rsid w:val="59477D0B"/>
    <w:rsid w:val="5F9B736D"/>
    <w:rsid w:val="60173E6F"/>
    <w:rsid w:val="60D36E22"/>
    <w:rsid w:val="60DD52C6"/>
    <w:rsid w:val="615F37CA"/>
    <w:rsid w:val="629520AE"/>
    <w:rsid w:val="69657DA3"/>
    <w:rsid w:val="6C364701"/>
    <w:rsid w:val="70056890"/>
    <w:rsid w:val="70E904D4"/>
    <w:rsid w:val="765545B7"/>
    <w:rsid w:val="78F07A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rFonts w:ascii="Calibri" w:hAnsi="Calibri"/>
      <w:b/>
      <w:bCs/>
      <w:sz w:val="32"/>
      <w:szCs w:val="32"/>
    </w:rPr>
  </w:style>
  <w:style w:type="character" w:default="1" w:styleId="11">
    <w:name w:val="Default Paragraph Font"/>
    <w:semiHidden/>
    <w:unhideWhenUsed/>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18"/>
    <w:qFormat/>
    <w:uiPriority w:val="0"/>
    <w:rPr>
      <w:b/>
      <w:bCs/>
    </w:rPr>
  </w:style>
  <w:style w:type="paragraph" w:styleId="4">
    <w:name w:val="annotation text"/>
    <w:basedOn w:val="1"/>
    <w:link w:val="17"/>
    <w:qFormat/>
    <w:uiPriority w:val="0"/>
    <w:pPr>
      <w:jc w:val="left"/>
    </w:pPr>
  </w:style>
  <w:style w:type="paragraph" w:styleId="5">
    <w:name w:val="Normal Indent"/>
    <w:basedOn w:val="1"/>
    <w:qFormat/>
    <w:uiPriority w:val="0"/>
    <w:rPr>
      <w:rFonts w:ascii="宋体" w:hAnsi="宋体"/>
      <w:sz w:val="32"/>
      <w:szCs w:val="20"/>
    </w:rPr>
  </w:style>
  <w:style w:type="paragraph" w:styleId="6">
    <w:name w:val="Body Text"/>
    <w:basedOn w:val="1"/>
    <w:qFormat/>
    <w:uiPriority w:val="0"/>
    <w:pPr>
      <w:spacing w:after="120"/>
    </w:pPr>
    <w:rPr>
      <w:szCs w:val="20"/>
    </w:rPr>
  </w:style>
  <w:style w:type="paragraph" w:styleId="7">
    <w:name w:val="Balloon Text"/>
    <w:basedOn w:val="1"/>
    <w:link w:val="15"/>
    <w:qFormat/>
    <w:uiPriority w:val="0"/>
    <w:rPr>
      <w:sz w:val="18"/>
      <w:szCs w:val="18"/>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kern w:val="0"/>
      <w:sz w:val="24"/>
    </w:rPr>
  </w:style>
  <w:style w:type="character" w:styleId="12">
    <w:name w:val="annotation reference"/>
    <w:basedOn w:val="11"/>
    <w:qFormat/>
    <w:uiPriority w:val="0"/>
    <w:rPr>
      <w:sz w:val="21"/>
      <w:szCs w:val="21"/>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批注框文本 字符"/>
    <w:basedOn w:val="11"/>
    <w:link w:val="7"/>
    <w:qFormat/>
    <w:uiPriority w:val="0"/>
    <w:rPr>
      <w:kern w:val="2"/>
      <w:sz w:val="18"/>
      <w:szCs w:val="18"/>
    </w:rPr>
  </w:style>
  <w:style w:type="paragraph" w:styleId="16">
    <w:name w:val="List Paragraph"/>
    <w:basedOn w:val="1"/>
    <w:qFormat/>
    <w:uiPriority w:val="99"/>
    <w:pPr>
      <w:ind w:firstLine="420" w:firstLineChars="200"/>
    </w:pPr>
  </w:style>
  <w:style w:type="character" w:customStyle="1" w:styleId="17">
    <w:name w:val="批注文字 字符"/>
    <w:basedOn w:val="11"/>
    <w:link w:val="4"/>
    <w:qFormat/>
    <w:uiPriority w:val="0"/>
    <w:rPr>
      <w:rFonts w:ascii="Times New Roman" w:hAnsi="Times New Roman"/>
      <w:kern w:val="2"/>
      <w:sz w:val="21"/>
      <w:szCs w:val="24"/>
    </w:rPr>
  </w:style>
  <w:style w:type="character" w:customStyle="1" w:styleId="18">
    <w:name w:val="批注主题 字符"/>
    <w:basedOn w:val="17"/>
    <w:link w:val="3"/>
    <w:qFormat/>
    <w:uiPriority w:val="0"/>
    <w:rPr>
      <w:rFonts w:ascii="Times New Roman" w:hAnsi="Times New Roman"/>
      <w:b/>
      <w:bCs/>
      <w:kern w:val="2"/>
      <w:sz w:val="21"/>
      <w:szCs w:val="24"/>
    </w:rPr>
  </w:style>
  <w:style w:type="character" w:customStyle="1" w:styleId="19">
    <w:name w:val="页眉 字符"/>
    <w:basedOn w:val="11"/>
    <w:link w:val="9"/>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719</Words>
  <Characters>4101</Characters>
  <Lines>34</Lines>
  <Paragraphs>9</Paragraphs>
  <TotalTime>69</TotalTime>
  <ScaleCrop>false</ScaleCrop>
  <LinksUpToDate>false</LinksUpToDate>
  <CharactersWithSpaces>4811</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2021-09-09T01:41:00Z</dcterms:created>
  <dc:creator>Lenovo</dc:creator>
  <cp:lastModifiedBy>Administrator</cp:lastModifiedBy>
  <dcterms:modified xsi:type="dcterms:W3CDTF">2021-10-19T01:44:08Z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